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emf" ContentType="image/x-emf"/>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17.xml" ContentType="application/vnd.ms-office.chartcolorstyle+xml"/>
  <Override PartName="/word/charts/colors18.xml" ContentType="application/vnd.ms-office.chartcolorstyle+xml"/>
  <Override PartName="/word/charts/colors19.xml" ContentType="application/vnd.ms-office.chartcolorstyle+xml"/>
  <Override PartName="/word/charts/colors2.xml" ContentType="application/vnd.ms-office.chartcolorstyle+xml"/>
  <Override PartName="/word/charts/colors20.xml" ContentType="application/vnd.ms-office.chartcolorstyle+xml"/>
  <Override PartName="/word/charts/colors21.xml" ContentType="application/vnd.ms-office.chartcolorstyle+xml"/>
  <Override PartName="/word/charts/colors22.xml" ContentType="application/vnd.ms-office.chartcolorstyle+xml"/>
  <Override PartName="/word/charts/colors23.xml" ContentType="application/vnd.ms-office.chartcolorstyle+xml"/>
  <Override PartName="/word/charts/colors24.xml" ContentType="application/vnd.ms-office.chartcolorstyle+xml"/>
  <Override PartName="/word/charts/colors25.xml" ContentType="application/vnd.ms-office.chartcolorstyle+xml"/>
  <Override PartName="/word/charts/colors26.xml" ContentType="application/vnd.ms-office.chartcolorstyle+xml"/>
  <Override PartName="/word/charts/colors27.xml" ContentType="application/vnd.ms-office.chartcolorstyle+xml"/>
  <Override PartName="/word/charts/colors28.xml" ContentType="application/vnd.ms-office.chartcolorstyle+xml"/>
  <Override PartName="/word/charts/colors29.xml" ContentType="application/vnd.ms-office.chartcolorstyle+xml"/>
  <Override PartName="/word/charts/colors3.xml" ContentType="application/vnd.ms-office.chartcolorstyle+xml"/>
  <Override PartName="/word/charts/colors30.xml" ContentType="application/vnd.ms-office.chartcolorstyle+xml"/>
  <Override PartName="/word/charts/colors31.xml" ContentType="application/vnd.ms-office.chartcolorstyle+xml"/>
  <Override PartName="/word/charts/colors32.xml" ContentType="application/vnd.ms-office.chartcolorstyle+xml"/>
  <Override PartName="/word/charts/colors33.xml" ContentType="application/vnd.ms-office.chartcolorstyle+xml"/>
  <Override PartName="/word/charts/colors34.xml" ContentType="application/vnd.ms-office.chartcolorstyle+xml"/>
  <Override PartName="/word/charts/colors35.xml" ContentType="application/vnd.ms-office.chartcolorstyle+xml"/>
  <Override PartName="/word/charts/colors36.xml" ContentType="application/vnd.ms-office.chartcolorstyle+xml"/>
  <Override PartName="/word/charts/colors37.xml" ContentType="application/vnd.ms-office.chartcolorstyle+xml"/>
  <Override PartName="/word/charts/colors38.xml" ContentType="application/vnd.ms-office.chartcolorstyle+xml"/>
  <Override PartName="/word/charts/colors39.xml" ContentType="application/vnd.ms-office.chartcolorstyle+xml"/>
  <Override PartName="/word/charts/colors4.xml" ContentType="application/vnd.ms-office.chartcolorstyle+xml"/>
  <Override PartName="/word/charts/colors40.xml" ContentType="application/vnd.ms-office.chartcolorstyle+xml"/>
  <Override PartName="/word/charts/colors41.xml" ContentType="application/vnd.ms-office.chartcolorstyle+xml"/>
  <Override PartName="/word/charts/colors42.xml" ContentType="application/vnd.ms-office.chartcolorstyle+xml"/>
  <Override PartName="/word/charts/colors43.xml" ContentType="application/vnd.ms-office.chartcolorstyle+xml"/>
  <Override PartName="/word/charts/colors44.xml" ContentType="application/vnd.ms-office.chartcolorstyle+xml"/>
  <Override PartName="/word/charts/colors45.xml" ContentType="application/vnd.ms-office.chartcolorstyle+xml"/>
  <Override PartName="/word/charts/colors46.xml" ContentType="application/vnd.ms-office.chartcolorstyle+xml"/>
  <Override PartName="/word/charts/colors47.xml" ContentType="application/vnd.ms-office.chartcolorstyle+xml"/>
  <Override PartName="/word/charts/colors48.xml" ContentType="application/vnd.ms-office.chartcolorstyle+xml"/>
  <Override PartName="/word/charts/colors49.xml" ContentType="application/vnd.ms-office.chartcolorstyle+xml"/>
  <Override PartName="/word/charts/colors5.xml" ContentType="application/vnd.ms-office.chartcolorstyle+xml"/>
  <Override PartName="/word/charts/colors50.xml" ContentType="application/vnd.ms-office.chartcolorstyle+xml"/>
  <Override PartName="/word/charts/colors51.xml" ContentType="application/vnd.ms-office.chartcolorstyle+xml"/>
  <Override PartName="/word/charts/colors52.xml" ContentType="application/vnd.ms-office.chartcolorstyle+xml"/>
  <Override PartName="/word/charts/colors53.xml" ContentType="application/vnd.ms-office.chartcolorstyle+xml"/>
  <Override PartName="/word/charts/colors54.xml" ContentType="application/vnd.ms-office.chartcolorstyle+xml"/>
  <Override PartName="/word/charts/colors55.xml" ContentType="application/vnd.ms-office.chartcolorstyle+xml"/>
  <Override PartName="/word/charts/colors56.xml" ContentType="application/vnd.ms-office.chartcolorstyle+xml"/>
  <Override PartName="/word/charts/colors57.xml" ContentType="application/vnd.ms-office.chartcolorstyle+xml"/>
  <Override PartName="/word/charts/colors58.xml" ContentType="application/vnd.ms-office.chartcolorstyle+xml"/>
  <Override PartName="/word/charts/colors59.xml" ContentType="application/vnd.ms-office.chartcolorstyle+xml"/>
  <Override PartName="/word/charts/colors6.xml" ContentType="application/vnd.ms-office.chartcolorstyle+xml"/>
  <Override PartName="/word/charts/colors60.xml" ContentType="application/vnd.ms-office.chartcolorstyle+xml"/>
  <Override PartName="/word/charts/colors61.xml" ContentType="application/vnd.ms-office.chartcolorstyle+xml"/>
  <Override PartName="/word/charts/colors62.xml" ContentType="application/vnd.ms-office.chartcolorstyle+xml"/>
  <Override PartName="/word/charts/colors63.xml" ContentType="application/vnd.ms-office.chartcolorstyle+xml"/>
  <Override PartName="/word/charts/colors64.xml" ContentType="application/vnd.ms-office.chartcolorstyle+xml"/>
  <Override PartName="/word/charts/colors65.xml" ContentType="application/vnd.ms-office.chartcolorstyle+xml"/>
  <Override PartName="/word/charts/colors66.xml" ContentType="application/vnd.ms-office.chartcolorstyle+xml"/>
  <Override PartName="/word/charts/colors67.xml" ContentType="application/vnd.ms-office.chartcolorstyle+xml"/>
  <Override PartName="/word/charts/colors68.xml" ContentType="application/vnd.ms-office.chartcolorstyle+xml"/>
  <Override PartName="/word/charts/colors69.xml" ContentType="application/vnd.ms-office.chartcolorstyle+xml"/>
  <Override PartName="/word/charts/colors7.xml" ContentType="application/vnd.ms-office.chartcolorstyle+xml"/>
  <Override PartName="/word/charts/colors70.xml" ContentType="application/vnd.ms-office.chartcolorstyle+xml"/>
  <Override PartName="/word/charts/colors71.xml" ContentType="application/vnd.ms-office.chartcolorstyle+xml"/>
  <Override PartName="/word/charts/colors72.xml" ContentType="application/vnd.ms-office.chartcolorstyle+xml"/>
  <Override PartName="/word/charts/colors73.xml" ContentType="application/vnd.ms-office.chartcolorstyle+xml"/>
  <Override PartName="/word/charts/colors74.xml" ContentType="application/vnd.ms-office.chartcolorstyle+xml"/>
  <Override PartName="/word/charts/colors75.xml" ContentType="application/vnd.ms-office.chartcolorstyle+xml"/>
  <Override PartName="/word/charts/colors76.xml" ContentType="application/vnd.ms-office.chartcolorstyle+xml"/>
  <Override PartName="/word/charts/colors7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17.xml" ContentType="application/vnd.ms-office.chartstyle+xml"/>
  <Override PartName="/word/charts/style18.xml" ContentType="application/vnd.ms-office.chartstyle+xml"/>
  <Override PartName="/word/charts/style19.xml" ContentType="application/vnd.ms-office.chartstyle+xml"/>
  <Override PartName="/word/charts/style2.xml" ContentType="application/vnd.ms-office.chartstyle+xml"/>
  <Override PartName="/word/charts/style20.xml" ContentType="application/vnd.ms-office.chartstyle+xml"/>
  <Override PartName="/word/charts/style21.xml" ContentType="application/vnd.ms-office.chartstyle+xml"/>
  <Override PartName="/word/charts/style22.xml" ContentType="application/vnd.ms-office.chartstyle+xml"/>
  <Override PartName="/word/charts/style23.xml" ContentType="application/vnd.ms-office.chartstyle+xml"/>
  <Override PartName="/word/charts/style24.xml" ContentType="application/vnd.ms-office.chartstyle+xml"/>
  <Override PartName="/word/charts/style25.xml" ContentType="application/vnd.ms-office.chartstyle+xml"/>
  <Override PartName="/word/charts/style26.xml" ContentType="application/vnd.ms-office.chartstyle+xml"/>
  <Override PartName="/word/charts/style27.xml" ContentType="application/vnd.ms-office.chartstyle+xml"/>
  <Override PartName="/word/charts/style28.xml" ContentType="application/vnd.ms-office.chartstyle+xml"/>
  <Override PartName="/word/charts/style29.xml" ContentType="application/vnd.ms-office.chartstyle+xml"/>
  <Override PartName="/word/charts/style3.xml" ContentType="application/vnd.ms-office.chartstyle+xml"/>
  <Override PartName="/word/charts/style30.xml" ContentType="application/vnd.ms-office.chartstyle+xml"/>
  <Override PartName="/word/charts/style31.xml" ContentType="application/vnd.ms-office.chartstyle+xml"/>
  <Override PartName="/word/charts/style32.xml" ContentType="application/vnd.ms-office.chartstyle+xml"/>
  <Override PartName="/word/charts/style33.xml" ContentType="application/vnd.ms-office.chartstyle+xml"/>
  <Override PartName="/word/charts/style34.xml" ContentType="application/vnd.ms-office.chartstyle+xml"/>
  <Override PartName="/word/charts/style35.xml" ContentType="application/vnd.ms-office.chartstyle+xml"/>
  <Override PartName="/word/charts/style36.xml" ContentType="application/vnd.ms-office.chartstyle+xml"/>
  <Override PartName="/word/charts/style37.xml" ContentType="application/vnd.ms-office.chartstyle+xml"/>
  <Override PartName="/word/charts/style38.xml" ContentType="application/vnd.ms-office.chartstyle+xml"/>
  <Override PartName="/word/charts/style39.xml" ContentType="application/vnd.ms-office.chartstyle+xml"/>
  <Override PartName="/word/charts/style4.xml" ContentType="application/vnd.ms-office.chartstyle+xml"/>
  <Override PartName="/word/charts/style40.xml" ContentType="application/vnd.ms-office.chartstyle+xml"/>
  <Override PartName="/word/charts/style41.xml" ContentType="application/vnd.ms-office.chartstyle+xml"/>
  <Override PartName="/word/charts/style42.xml" ContentType="application/vnd.ms-office.chartstyle+xml"/>
  <Override PartName="/word/charts/style43.xml" ContentType="application/vnd.ms-office.chartstyle+xml"/>
  <Override PartName="/word/charts/style44.xml" ContentType="application/vnd.ms-office.chartstyle+xml"/>
  <Override PartName="/word/charts/style45.xml" ContentType="application/vnd.ms-office.chartstyle+xml"/>
  <Override PartName="/word/charts/style46.xml" ContentType="application/vnd.ms-office.chartstyle+xml"/>
  <Override PartName="/word/charts/style47.xml" ContentType="application/vnd.ms-office.chartstyle+xml"/>
  <Override PartName="/word/charts/style48.xml" ContentType="application/vnd.ms-office.chartstyle+xml"/>
  <Override PartName="/word/charts/style49.xml" ContentType="application/vnd.ms-office.chartstyle+xml"/>
  <Override PartName="/word/charts/style5.xml" ContentType="application/vnd.ms-office.chartstyle+xml"/>
  <Override PartName="/word/charts/style50.xml" ContentType="application/vnd.ms-office.chartstyle+xml"/>
  <Override PartName="/word/charts/style51.xml" ContentType="application/vnd.ms-office.chartstyle+xml"/>
  <Override PartName="/word/charts/style52.xml" ContentType="application/vnd.ms-office.chartstyle+xml"/>
  <Override PartName="/word/charts/style53.xml" ContentType="application/vnd.ms-office.chartstyle+xml"/>
  <Override PartName="/word/charts/style54.xml" ContentType="application/vnd.ms-office.chartstyle+xml"/>
  <Override PartName="/word/charts/style55.xml" ContentType="application/vnd.ms-office.chartstyle+xml"/>
  <Override PartName="/word/charts/style56.xml" ContentType="application/vnd.ms-office.chartstyle+xml"/>
  <Override PartName="/word/charts/style57.xml" ContentType="application/vnd.ms-office.chartstyle+xml"/>
  <Override PartName="/word/charts/style58.xml" ContentType="application/vnd.ms-office.chartstyle+xml"/>
  <Override PartName="/word/charts/style59.xml" ContentType="application/vnd.ms-office.chartstyle+xml"/>
  <Override PartName="/word/charts/style6.xml" ContentType="application/vnd.ms-office.chartstyle+xml"/>
  <Override PartName="/word/charts/style60.xml" ContentType="application/vnd.ms-office.chartstyle+xml"/>
  <Override PartName="/word/charts/style61.xml" ContentType="application/vnd.ms-office.chartstyle+xml"/>
  <Override PartName="/word/charts/style62.xml" ContentType="application/vnd.ms-office.chartstyle+xml"/>
  <Override PartName="/word/charts/style63.xml" ContentType="application/vnd.ms-office.chartstyle+xml"/>
  <Override PartName="/word/charts/style64.xml" ContentType="application/vnd.ms-office.chartstyle+xml"/>
  <Override PartName="/word/charts/style65.xml" ContentType="application/vnd.ms-office.chartstyle+xml"/>
  <Override PartName="/word/charts/style66.xml" ContentType="application/vnd.ms-office.chartstyle+xml"/>
  <Override PartName="/word/charts/style67.xml" ContentType="application/vnd.ms-office.chartstyle+xml"/>
  <Override PartName="/word/charts/style68.xml" ContentType="application/vnd.ms-office.chartstyle+xml"/>
  <Override PartName="/word/charts/style69.xml" ContentType="application/vnd.ms-office.chartstyle+xml"/>
  <Override PartName="/word/charts/style7.xml" ContentType="application/vnd.ms-office.chartstyle+xml"/>
  <Override PartName="/word/charts/style70.xml" ContentType="application/vnd.ms-office.chartstyle+xml"/>
  <Override PartName="/word/charts/style71.xml" ContentType="application/vnd.ms-office.chartstyle+xml"/>
  <Override PartName="/word/charts/style72.xml" ContentType="application/vnd.ms-office.chartstyle+xml"/>
  <Override PartName="/word/charts/style73.xml" ContentType="application/vnd.ms-office.chartstyle+xml"/>
  <Override PartName="/word/charts/style74.xml" ContentType="application/vnd.ms-office.chartstyle+xml"/>
  <Override PartName="/word/charts/style75.xml" ContentType="application/vnd.ms-office.chartstyle+xml"/>
  <Override PartName="/word/charts/style76.xml" ContentType="application/vnd.ms-office.chartstyle+xml"/>
  <Override PartName="/word/charts/style77.xml" ContentType="application/vnd.ms-office.chartstyle+xml"/>
  <Override PartName="/word/charts/style8.xml" ContentType="application/vnd.ms-office.chartstyle+xml"/>
  <Override PartName="/word/charts/style9.xml" ContentType="application/vnd.ms-office.chartstyle+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7"/>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Pr>
          <w:lang w:val="sv-SE"/>
        </w:rPr>
        <w:t>.</w:t>
      </w:r>
      <w:r>
        <w:rPr>
          <w:rFonts w:hint="eastAsia"/>
          <w:lang w:val="en-US" w:eastAsia="zh-CN"/>
        </w:rPr>
        <w:t>0</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12</w:t>
      </w:r>
      <w:r>
        <w:rPr>
          <w:sz w:val="32"/>
          <w:lang w:val="sv-SE"/>
        </w:rPr>
        <w:t>)</w:t>
      </w:r>
    </w:p>
    <w:p>
      <w:pPr>
        <w:pStyle w:val="78"/>
      </w:pPr>
      <w:r>
        <w:t>Technical Report</w:t>
      </w:r>
    </w:p>
    <w:p>
      <w:pPr>
        <w:pStyle w:val="79"/>
      </w:pPr>
      <w:r>
        <w:t>3rd Generation Partnership Project;</w:t>
      </w:r>
    </w:p>
    <w:p>
      <w:pPr>
        <w:pStyle w:val="79"/>
        <w:rPr>
          <w:lang w:eastAsia="zh-CN"/>
        </w:rPr>
      </w:pPr>
      <w:r>
        <w:t>Technical Specification Group Radio Access Network;</w:t>
      </w:r>
    </w:p>
    <w:p>
      <w:pPr>
        <w:pStyle w:val="79"/>
        <w:rPr>
          <w:lang w:eastAsia="zh-CN"/>
        </w:rPr>
      </w:pPr>
      <w:r>
        <w:rPr>
          <w:rFonts w:hint="eastAsia"/>
          <w:lang w:eastAsia="zh-CN"/>
        </w:rPr>
        <w:t>NR;</w:t>
      </w:r>
    </w:p>
    <w:p>
      <w:pPr>
        <w:pStyle w:val="79"/>
      </w:pPr>
      <w:r>
        <w:t>Study on Air-to-ground network for NR</w:t>
      </w:r>
    </w:p>
    <w:p>
      <w:pPr>
        <w:pStyle w:val="79"/>
        <w:rPr>
          <w:i/>
          <w:sz w:val="28"/>
        </w:rPr>
      </w:pPr>
      <w:r>
        <w:t xml:space="preserve"> (</w:t>
      </w:r>
      <w:r>
        <w:rPr>
          <w:rStyle w:val="59"/>
        </w:rPr>
        <w:t>Release 1</w:t>
      </w:r>
      <w:r>
        <w:rPr>
          <w:rStyle w:val="59"/>
          <w:rFonts w:hint="eastAsia"/>
          <w:lang w:eastAsia="zh-CN"/>
        </w:rPr>
        <w:t>8</w:t>
      </w:r>
      <w:r>
        <w:t>)</w:t>
      </w:r>
    </w:p>
    <w:p>
      <w:pPr>
        <w:pStyle w:val="80"/>
        <w:framePr w:h="4929" w:hRule="exact"/>
        <w:tabs>
          <w:tab w:val="right" w:pos="10206"/>
        </w:tabs>
        <w:jc w:val="left"/>
      </w:pPr>
      <w:r>
        <w:rPr>
          <w:i/>
        </w:rPr>
        <w:t xml:space="preserve">  </w:t>
      </w:r>
      <w:r>
        <w:object>
          <v:shape id="_x0000_i1025" o:spt="75" type="#_x0000_t75" style="height:63.5pt;width:103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r>
        <w:tab/>
      </w:r>
      <w:r>
        <w:rPr>
          <w:lang w:val="en-US" w:eastAsia="zh-CN"/>
        </w:rPr>
        <w:drawing>
          <wp:inline distT="0" distB="0" distL="0" distR="0">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9"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pPr>
        <w:pStyle w:val="80"/>
        <w:framePr w:h="4929" w:hRule="exact"/>
        <w:tabs>
          <w:tab w:val="right" w:pos="10206"/>
        </w:tabs>
        <w:jc w:val="left"/>
      </w:pPr>
    </w:p>
    <w:p>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pPr>
        <w:pStyle w:val="90"/>
      </w:pPr>
    </w:p>
    <w:p/>
    <w:bookmarkEnd w:id="0"/>
    <w:p>
      <w:pPr>
        <w:sectPr>
          <w:footnotePr>
            <w:numRestart w:val="eachSect"/>
          </w:footnotePr>
          <w:pgSz w:w="11907" w:h="16840"/>
          <w:pgMar w:top="2268" w:right="851" w:bottom="10773" w:left="851" w:header="0" w:footer="0" w:gutter="0"/>
          <w:cols w:space="720" w:num="1"/>
        </w:sectPr>
      </w:pPr>
    </w:p>
    <w:p>
      <w:pPr>
        <w:pStyle w:val="100"/>
        <w:rPr>
          <w:color w:val="auto"/>
        </w:rPr>
      </w:pPr>
      <w:bookmarkStart w:id="1" w:name="page2"/>
      <w:r>
        <w:rPr>
          <w:color w:val="auto"/>
        </w:rPr>
        <w:br w:type="textWrapping"/>
      </w:r>
    </w:p>
    <w:p/>
    <w:p>
      <w:pPr>
        <w:pStyle w:val="71"/>
        <w:framePr w:wrap="notBeside" w:vAnchor="margin" w:hAnchor="margin" w:y="1419"/>
        <w:pBdr>
          <w:bottom w:val="single" w:color="auto" w:sz="6" w:space="1"/>
        </w:pBdr>
        <w:spacing w:before="240"/>
        <w:ind w:left="2835" w:right="2835"/>
        <w:jc w:val="center"/>
      </w:pPr>
      <w:r>
        <w:t>Keywords</w:t>
      </w:r>
    </w:p>
    <w:p>
      <w:pPr>
        <w:pStyle w:val="71"/>
        <w:framePr w:wrap="notBeside" w:vAnchor="margin" w:hAnchor="margin" w:y="1419"/>
        <w:ind w:left="2835" w:right="2835"/>
        <w:jc w:val="center"/>
        <w:rPr>
          <w:rFonts w:ascii="Arial" w:hAnsi="Arial"/>
          <w:sz w:val="18"/>
        </w:rPr>
      </w:pPr>
      <w:r>
        <w:rPr>
          <w:rFonts w:ascii="Arial" w:hAnsi="Arial"/>
          <w:sz w:val="18"/>
        </w:rPr>
        <w:t>Radio, LTE</w:t>
      </w:r>
    </w:p>
    <w:p/>
    <w:p>
      <w:pPr>
        <w:pStyle w:val="71"/>
        <w:framePr w:wrap="notBeside" w:vAnchor="margin" w:hAnchor="margin" w:yAlign="center"/>
        <w:spacing w:after="240"/>
        <w:ind w:left="2835" w:right="2835"/>
        <w:jc w:val="center"/>
        <w:rPr>
          <w:rFonts w:ascii="Arial" w:hAnsi="Arial"/>
          <w:b/>
          <w:i/>
        </w:rPr>
      </w:pPr>
      <w:r>
        <w:rPr>
          <w:rFonts w:ascii="Arial" w:hAnsi="Arial"/>
          <w:b/>
          <w:i/>
        </w:rPr>
        <w:t>3GPP</w:t>
      </w:r>
    </w:p>
    <w:p>
      <w:pPr>
        <w:pStyle w:val="71"/>
        <w:framePr w:wrap="notBeside" w:vAnchor="margin" w:hAnchor="margin" w:yAlign="center"/>
        <w:pBdr>
          <w:bottom w:val="single" w:color="auto" w:sz="6" w:space="1"/>
        </w:pBdr>
        <w:ind w:left="2835" w:right="2835"/>
        <w:jc w:val="center"/>
      </w:pPr>
      <w:r>
        <w:t>Postal address</w:t>
      </w:r>
    </w:p>
    <w:p>
      <w:pPr>
        <w:pStyle w:val="71"/>
        <w:framePr w:wrap="notBeside" w:vAnchor="margin" w:hAnchor="margin" w:yAlign="center"/>
        <w:ind w:left="2835" w:right="2835"/>
        <w:jc w:val="center"/>
        <w:rPr>
          <w:rFonts w:ascii="Arial" w:hAnsi="Arial"/>
          <w:sz w:val="18"/>
        </w:rPr>
      </w:pPr>
    </w:p>
    <w:p>
      <w:pPr>
        <w:pStyle w:val="71"/>
        <w:framePr w:wrap="notBeside" w:vAnchor="margin" w:hAnchor="margin" w:yAlign="center"/>
        <w:pBdr>
          <w:bottom w:val="single" w:color="auto" w:sz="6" w:space="1"/>
        </w:pBdr>
        <w:spacing w:before="240"/>
        <w:ind w:left="2835" w:right="2835"/>
        <w:jc w:val="center"/>
      </w:pPr>
      <w:r>
        <w:t>3GPP support office address</w:t>
      </w:r>
    </w:p>
    <w:p>
      <w:pPr>
        <w:pStyle w:val="71"/>
        <w:framePr w:wrap="notBeside" w:vAnchor="margin" w:hAnchor="margin" w:yAlign="center"/>
        <w:ind w:left="2835" w:right="2835"/>
        <w:jc w:val="center"/>
        <w:rPr>
          <w:rFonts w:ascii="Arial" w:hAnsi="Arial"/>
          <w:sz w:val="18"/>
        </w:rPr>
      </w:pPr>
      <w:r>
        <w:rPr>
          <w:rFonts w:ascii="Arial" w:hAnsi="Arial"/>
          <w:sz w:val="18"/>
        </w:rPr>
        <w:t>650 Route des Lucioles - Sophia Antipolis</w:t>
      </w:r>
    </w:p>
    <w:p>
      <w:pPr>
        <w:pStyle w:val="71"/>
        <w:framePr w:wrap="notBeside" w:vAnchor="margin" w:hAnchor="margin" w:yAlign="center"/>
        <w:ind w:left="2835" w:right="2835"/>
        <w:jc w:val="center"/>
        <w:rPr>
          <w:rFonts w:ascii="Arial" w:hAnsi="Arial"/>
          <w:sz w:val="18"/>
        </w:rPr>
      </w:pPr>
      <w:r>
        <w:rPr>
          <w:rFonts w:ascii="Arial" w:hAnsi="Arial"/>
          <w:sz w:val="18"/>
        </w:rPr>
        <w:t>Valbonne - FRANCE</w:t>
      </w:r>
    </w:p>
    <w:p>
      <w:pPr>
        <w:pStyle w:val="71"/>
        <w:framePr w:wrap="notBeside" w:vAnchor="margin" w:hAnchor="margin" w:yAlign="center"/>
        <w:spacing w:after="20"/>
        <w:ind w:left="2835" w:right="2835"/>
        <w:jc w:val="center"/>
        <w:rPr>
          <w:rFonts w:ascii="Arial" w:hAnsi="Arial"/>
          <w:sz w:val="18"/>
        </w:rPr>
      </w:pPr>
      <w:r>
        <w:rPr>
          <w:rFonts w:ascii="Arial" w:hAnsi="Arial"/>
          <w:sz w:val="18"/>
        </w:rPr>
        <w:t>Tel.: +33 4 92 94 42 00 Fax: +33 4 93 65 47 16</w:t>
      </w:r>
    </w:p>
    <w:p>
      <w:pPr>
        <w:pStyle w:val="71"/>
        <w:framePr w:wrap="notBeside" w:vAnchor="margin" w:hAnchor="margin" w:yAlign="center"/>
        <w:pBdr>
          <w:bottom w:val="single" w:color="auto" w:sz="6" w:space="1"/>
        </w:pBdr>
        <w:spacing w:before="240"/>
        <w:ind w:left="2835" w:right="2835"/>
        <w:jc w:val="center"/>
      </w:pPr>
      <w:r>
        <w:t>Internet</w:t>
      </w:r>
    </w:p>
    <w:p>
      <w:pPr>
        <w:pStyle w:val="71"/>
        <w:framePr w:wrap="notBeside" w:vAnchor="margin" w:hAnchor="margin" w:yAlign="center"/>
        <w:ind w:left="2835" w:right="2835"/>
        <w:jc w:val="center"/>
        <w:rPr>
          <w:rFonts w:ascii="Arial" w:hAnsi="Arial"/>
          <w:sz w:val="18"/>
        </w:rPr>
      </w:pPr>
      <w:r>
        <w:rPr>
          <w:rFonts w:ascii="Arial" w:hAnsi="Arial"/>
          <w:sz w:val="18"/>
        </w:rPr>
        <w:t>http://www.3gpp.org</w:t>
      </w:r>
    </w:p>
    <w:p/>
    <w:p>
      <w:pPr>
        <w:pStyle w:val="71"/>
        <w:framePr w:h="3057" w:hRule="exact" w:wrap="notBeside" w:vAnchor="page" w:hAnchor="margin" w:y="12605"/>
        <w:pBdr>
          <w:bottom w:val="single" w:color="auto" w:sz="6" w:space="1"/>
        </w:pBdr>
        <w:spacing w:after="240"/>
        <w:jc w:val="center"/>
        <w:rPr>
          <w:rFonts w:ascii="Arial" w:hAnsi="Arial"/>
          <w:b/>
          <w:i/>
        </w:rPr>
      </w:pPr>
      <w:r>
        <w:rPr>
          <w:rFonts w:ascii="Arial" w:hAnsi="Arial"/>
          <w:b/>
          <w:i/>
        </w:rPr>
        <w:t>Copyright Notification</w:t>
      </w:r>
    </w:p>
    <w:p>
      <w:pPr>
        <w:pStyle w:val="71"/>
        <w:framePr w:h="3057" w:hRule="exact" w:wrap="notBeside" w:vAnchor="page" w:hAnchor="margin" w:y="12605"/>
        <w:jc w:val="center"/>
      </w:pPr>
      <w:r>
        <w:t>No part may be reproduced except as authorized by written permission.</w:t>
      </w:r>
      <w:r>
        <w:br w:type="textWrapping"/>
      </w:r>
      <w:r>
        <w:t>The copyright and the foregoing restriction extend to reproduction in all media.</w:t>
      </w:r>
    </w:p>
    <w:p>
      <w:pPr>
        <w:pStyle w:val="71"/>
        <w:framePr w:h="3057" w:hRule="exact" w:wrap="notBeside" w:vAnchor="page" w:hAnchor="margin" w:y="12605"/>
        <w:jc w:val="center"/>
      </w:pPr>
    </w:p>
    <w:p>
      <w:pPr>
        <w:pStyle w:val="71"/>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pPr>
        <w:pStyle w:val="71"/>
        <w:framePr w:h="3057" w:hRule="exact" w:wrap="notBeside" w:vAnchor="page" w:hAnchor="margin" w:y="12605"/>
        <w:jc w:val="center"/>
        <w:rPr>
          <w:sz w:val="18"/>
        </w:rPr>
      </w:pPr>
      <w:r>
        <w:rPr>
          <w:sz w:val="18"/>
        </w:rPr>
        <w:t>All rights reserved.</w:t>
      </w:r>
    </w:p>
    <w:p>
      <w:pPr>
        <w:pStyle w:val="71"/>
        <w:framePr w:h="3057" w:hRule="exact" w:wrap="notBeside" w:vAnchor="page" w:hAnchor="margin" w:y="12605"/>
        <w:rPr>
          <w:sz w:val="18"/>
        </w:rPr>
      </w:pPr>
    </w:p>
    <w:p>
      <w:pPr>
        <w:pStyle w:val="71"/>
        <w:framePr w:h="3057" w:hRule="exact" w:wrap="notBeside" w:vAnchor="page" w:hAnchor="margin" w:y="12605"/>
        <w:rPr>
          <w:sz w:val="18"/>
        </w:rPr>
      </w:pPr>
      <w:r>
        <w:rPr>
          <w:sz w:val="18"/>
        </w:rPr>
        <w:t>UMTS™ is a Trade Mark of ETSI registered for the benefit of its members</w:t>
      </w:r>
    </w:p>
    <w:p>
      <w:pPr>
        <w:pStyle w:val="71"/>
        <w:framePr w:h="3057" w:hRule="exact" w:wrap="notBeside" w:vAnchor="page" w:hAnchor="margin" w:y="1260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71"/>
        <w:framePr w:h="3057" w:hRule="exact" w:wrap="notBeside" w:vAnchor="page" w:hAnchor="margin" w:y="12605"/>
        <w:rPr>
          <w:sz w:val="18"/>
        </w:rPr>
      </w:pPr>
      <w:r>
        <w:rPr>
          <w:sz w:val="18"/>
        </w:rPr>
        <w:t>GSM® and the GSM logo are registered and owned by the GSM Association</w:t>
      </w:r>
    </w:p>
    <w:p/>
    <w:bookmarkEnd w:id="1"/>
    <w:p>
      <w:pPr>
        <w:pStyle w:val="61"/>
      </w:pPr>
      <w:r>
        <w:br w:type="page"/>
      </w:r>
      <w:r>
        <w:t>Contents</w:t>
      </w:r>
    </w:p>
    <w:p>
      <w:pPr>
        <w:pStyle w:val="21"/>
        <w:tabs>
          <w:tab w:val="right" w:leader="dot" w:pos="9641"/>
          <w:tab w:val="clear" w:pos="9639"/>
        </w:tabs>
      </w:pPr>
      <w:r>
        <w:fldChar w:fldCharType="begin"/>
      </w:r>
      <w:r>
        <w:instrText xml:space="preserve">TOC \o "1-1" \t "标题 2,1,标题 3,1,标题 4,1,标题 5,1" \h \u </w:instrText>
      </w:r>
      <w:r>
        <w:fldChar w:fldCharType="separate"/>
      </w:r>
      <w:r>
        <w:fldChar w:fldCharType="begin"/>
      </w:r>
      <w:r>
        <w:instrText xml:space="preserve"> HYPERLINK \l _Toc9458 </w:instrText>
      </w:r>
      <w:r>
        <w:fldChar w:fldCharType="separate"/>
      </w:r>
      <w:r>
        <w:t>Foreword</w:t>
      </w:r>
      <w:r>
        <w:tab/>
      </w:r>
      <w:r>
        <w:fldChar w:fldCharType="begin"/>
      </w:r>
      <w:r>
        <w:instrText xml:space="preserve"> PAGEREF _Toc9458 \h </w:instrText>
      </w:r>
      <w:r>
        <w:fldChar w:fldCharType="separate"/>
      </w:r>
      <w:r>
        <w:t>8</w:t>
      </w:r>
      <w:r>
        <w:fldChar w:fldCharType="end"/>
      </w:r>
      <w:r>
        <w:fldChar w:fldCharType="end"/>
      </w:r>
    </w:p>
    <w:p>
      <w:pPr>
        <w:pStyle w:val="21"/>
        <w:tabs>
          <w:tab w:val="right" w:leader="dot" w:pos="9641"/>
          <w:tab w:val="clear" w:pos="9639"/>
        </w:tabs>
      </w:pPr>
      <w:r>
        <w:fldChar w:fldCharType="begin"/>
      </w:r>
      <w:r>
        <w:instrText xml:space="preserve"> HYPERLINK \l _Toc4292 </w:instrText>
      </w:r>
      <w:r>
        <w:fldChar w:fldCharType="separate"/>
      </w:r>
      <w:r>
        <w:rPr>
          <w:rFonts w:hint="eastAsia"/>
          <w:lang w:val="en-US" w:eastAsia="zh-CN"/>
        </w:rPr>
        <w:t>1 Scope</w:t>
      </w:r>
      <w:r>
        <w:tab/>
      </w:r>
      <w:r>
        <w:fldChar w:fldCharType="begin"/>
      </w:r>
      <w:r>
        <w:instrText xml:space="preserve"> PAGEREF _Toc4292 \h </w:instrText>
      </w:r>
      <w:r>
        <w:fldChar w:fldCharType="separate"/>
      </w:r>
      <w:r>
        <w:t>9</w:t>
      </w:r>
      <w:r>
        <w:fldChar w:fldCharType="end"/>
      </w:r>
      <w:r>
        <w:fldChar w:fldCharType="end"/>
      </w:r>
    </w:p>
    <w:p>
      <w:pPr>
        <w:pStyle w:val="21"/>
        <w:tabs>
          <w:tab w:val="right" w:leader="dot" w:pos="9641"/>
          <w:tab w:val="clear" w:pos="9639"/>
        </w:tabs>
      </w:pPr>
      <w:r>
        <w:fldChar w:fldCharType="begin"/>
      </w:r>
      <w:r>
        <w:instrText xml:space="preserve"> HYPERLINK \l _Toc11172 </w:instrText>
      </w:r>
      <w:r>
        <w:fldChar w:fldCharType="separate"/>
      </w:r>
      <w:r>
        <w:rPr>
          <w:lang w:eastAsia="zh-CN"/>
        </w:rPr>
        <w:t>2</w:t>
      </w:r>
      <w:r>
        <w:rPr>
          <w:rFonts w:hint="eastAsia"/>
          <w:lang w:val="en-US" w:eastAsia="zh-CN"/>
        </w:rPr>
        <w:t xml:space="preserve"> </w:t>
      </w:r>
      <w:r>
        <w:rPr>
          <w:lang w:eastAsia="zh-CN"/>
        </w:rPr>
        <w:t>References</w:t>
      </w:r>
      <w:r>
        <w:tab/>
      </w:r>
      <w:r>
        <w:fldChar w:fldCharType="begin"/>
      </w:r>
      <w:r>
        <w:instrText xml:space="preserve"> PAGEREF _Toc11172 \h </w:instrText>
      </w:r>
      <w:r>
        <w:fldChar w:fldCharType="separate"/>
      </w:r>
      <w:r>
        <w:t>9</w:t>
      </w:r>
      <w:r>
        <w:fldChar w:fldCharType="end"/>
      </w:r>
      <w:r>
        <w:fldChar w:fldCharType="end"/>
      </w:r>
    </w:p>
    <w:p>
      <w:pPr>
        <w:pStyle w:val="21"/>
        <w:tabs>
          <w:tab w:val="right" w:leader="dot" w:pos="9641"/>
          <w:tab w:val="clear" w:pos="9639"/>
        </w:tabs>
      </w:pPr>
      <w:r>
        <w:fldChar w:fldCharType="begin"/>
      </w:r>
      <w:r>
        <w:instrText xml:space="preserve"> HYPERLINK \l _Toc29553 </w:instrText>
      </w:r>
      <w:r>
        <w:fldChar w:fldCharType="separate"/>
      </w:r>
      <w:r>
        <w:rPr>
          <w:lang w:eastAsia="zh-CN"/>
        </w:rPr>
        <w:t>3</w:t>
      </w:r>
      <w:r>
        <w:rPr>
          <w:rFonts w:hint="eastAsia"/>
          <w:lang w:val="en-US" w:eastAsia="zh-CN"/>
        </w:rPr>
        <w:t xml:space="preserve"> </w:t>
      </w:r>
      <w:r>
        <w:rPr>
          <w:lang w:eastAsia="zh-CN"/>
        </w:rPr>
        <w:t>Definitions, symbols and abbreviations</w:t>
      </w:r>
      <w:r>
        <w:tab/>
      </w:r>
      <w:r>
        <w:fldChar w:fldCharType="begin"/>
      </w:r>
      <w:r>
        <w:instrText xml:space="preserve"> PAGEREF _Toc29553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_Toc30831 </w:instrText>
      </w:r>
      <w:r>
        <w:fldChar w:fldCharType="separate"/>
      </w:r>
      <w:r>
        <w:rPr>
          <w:rFonts w:hint="eastAsia"/>
          <w:lang w:val="en-US" w:eastAsia="zh-CN"/>
        </w:rPr>
        <w:t xml:space="preserve">3.1 </w:t>
      </w:r>
      <w:r>
        <w:t>Definitions</w:t>
      </w:r>
      <w:r>
        <w:tab/>
      </w:r>
      <w:r>
        <w:fldChar w:fldCharType="begin"/>
      </w:r>
      <w:r>
        <w:instrText xml:space="preserve"> PAGEREF _Toc30831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_Toc9008 </w:instrText>
      </w:r>
      <w:r>
        <w:fldChar w:fldCharType="separate"/>
      </w:r>
      <w:r>
        <w:t>3.2</w:t>
      </w:r>
      <w:r>
        <w:rPr>
          <w:rFonts w:hint="eastAsia" w:eastAsia="宋体"/>
          <w:lang w:val="en-US" w:eastAsia="zh-CN"/>
        </w:rPr>
        <w:t xml:space="preserve"> </w:t>
      </w:r>
      <w:r>
        <w:t>Symbols</w:t>
      </w:r>
      <w:r>
        <w:tab/>
      </w:r>
      <w:r>
        <w:fldChar w:fldCharType="begin"/>
      </w:r>
      <w:r>
        <w:instrText xml:space="preserve"> PAGEREF _Toc9008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_Toc18670 </w:instrText>
      </w:r>
      <w:r>
        <w:fldChar w:fldCharType="separate"/>
      </w:r>
      <w:r>
        <w:t>3.3</w:t>
      </w:r>
      <w:r>
        <w:rPr>
          <w:rFonts w:hint="eastAsia" w:eastAsia="宋体"/>
          <w:lang w:val="en-US" w:eastAsia="zh-CN"/>
        </w:rPr>
        <w:t xml:space="preserve"> </w:t>
      </w:r>
      <w:r>
        <w:t>Abbreviations</w:t>
      </w:r>
      <w:r>
        <w:tab/>
      </w:r>
      <w:r>
        <w:fldChar w:fldCharType="begin"/>
      </w:r>
      <w:r>
        <w:instrText xml:space="preserve"> PAGEREF _Toc18670 \h </w:instrText>
      </w:r>
      <w:r>
        <w:fldChar w:fldCharType="separate"/>
      </w:r>
      <w:r>
        <w:t>10</w:t>
      </w:r>
      <w:r>
        <w:fldChar w:fldCharType="end"/>
      </w:r>
      <w:r>
        <w:fldChar w:fldCharType="end"/>
      </w:r>
    </w:p>
    <w:p>
      <w:pPr>
        <w:pStyle w:val="21"/>
        <w:tabs>
          <w:tab w:val="right" w:leader="dot" w:pos="9641"/>
          <w:tab w:val="clear" w:pos="9639"/>
        </w:tabs>
      </w:pPr>
      <w:r>
        <w:fldChar w:fldCharType="begin"/>
      </w:r>
      <w:r>
        <w:instrText xml:space="preserve"> HYPERLINK \l _Toc11304 </w:instrText>
      </w:r>
      <w:r>
        <w:fldChar w:fldCharType="separate"/>
      </w:r>
      <w:r>
        <w:rPr>
          <w:lang w:eastAsia="zh-CN"/>
        </w:rPr>
        <w:t>4</w:t>
      </w:r>
      <w:r>
        <w:rPr>
          <w:rFonts w:hint="eastAsia"/>
          <w:lang w:val="en-US" w:eastAsia="zh-CN"/>
        </w:rPr>
        <w:t xml:space="preserve"> </w:t>
      </w:r>
      <w:r>
        <w:rPr>
          <w:lang w:eastAsia="zh-CN"/>
        </w:rPr>
        <w:t>Background</w:t>
      </w:r>
      <w:r>
        <w:tab/>
      </w:r>
      <w:r>
        <w:fldChar w:fldCharType="begin"/>
      </w:r>
      <w:r>
        <w:instrText xml:space="preserve"> PAGEREF _Toc11304 \h </w:instrText>
      </w:r>
      <w:r>
        <w:fldChar w:fldCharType="separate"/>
      </w:r>
      <w:r>
        <w:t>11</w:t>
      </w:r>
      <w:r>
        <w:fldChar w:fldCharType="end"/>
      </w:r>
      <w:r>
        <w:fldChar w:fldCharType="end"/>
      </w:r>
    </w:p>
    <w:p>
      <w:pPr>
        <w:pStyle w:val="21"/>
        <w:tabs>
          <w:tab w:val="right" w:leader="dot" w:pos="9641"/>
          <w:tab w:val="clear" w:pos="9639"/>
        </w:tabs>
      </w:pPr>
      <w:r>
        <w:fldChar w:fldCharType="begin"/>
      </w:r>
      <w:r>
        <w:instrText xml:space="preserve"> HYPERLINK \l _Toc29135 </w:instrText>
      </w:r>
      <w:r>
        <w:fldChar w:fldCharType="separate"/>
      </w:r>
      <w:r>
        <w:rPr>
          <w:lang w:eastAsia="zh-CN"/>
        </w:rPr>
        <w:t>5</w:t>
      </w:r>
      <w:r>
        <w:rPr>
          <w:rFonts w:hint="eastAsia"/>
          <w:lang w:val="en-US" w:eastAsia="zh-CN"/>
        </w:rPr>
        <w:t xml:space="preserve"> </w:t>
      </w:r>
      <w:r>
        <w:rPr>
          <w:rFonts w:hint="eastAsia"/>
          <w:lang w:eastAsia="zh-CN"/>
        </w:rPr>
        <w:t xml:space="preserve">ATG </w:t>
      </w:r>
      <w:r>
        <w:rPr>
          <w:lang w:eastAsia="zh-CN"/>
        </w:rPr>
        <w:t>band</w:t>
      </w:r>
      <w:r>
        <w:rPr>
          <w:rFonts w:hint="eastAsia"/>
          <w:lang w:eastAsia="zh-CN"/>
        </w:rPr>
        <w:t>s</w:t>
      </w:r>
      <w:r>
        <w:tab/>
      </w:r>
      <w:r>
        <w:fldChar w:fldCharType="begin"/>
      </w:r>
      <w:r>
        <w:instrText xml:space="preserve"> PAGEREF _Toc29135 \h </w:instrText>
      </w:r>
      <w:r>
        <w:fldChar w:fldCharType="separate"/>
      </w:r>
      <w:r>
        <w:t>11</w:t>
      </w:r>
      <w:r>
        <w:fldChar w:fldCharType="end"/>
      </w:r>
      <w:r>
        <w:fldChar w:fldCharType="end"/>
      </w:r>
    </w:p>
    <w:p>
      <w:pPr>
        <w:pStyle w:val="21"/>
        <w:tabs>
          <w:tab w:val="right" w:pos="2000"/>
          <w:tab w:val="right" w:leader="dot" w:pos="9641"/>
          <w:tab w:val="clear" w:pos="9639"/>
        </w:tabs>
      </w:pPr>
      <w:r>
        <w:fldChar w:fldCharType="begin"/>
      </w:r>
      <w:r>
        <w:instrText xml:space="preserve"> HYPERLINK \l _Toc19655 </w:instrText>
      </w:r>
      <w:r>
        <w:fldChar w:fldCharType="separate"/>
      </w:r>
      <w:r>
        <w:rPr>
          <w:rFonts w:hint="eastAsia"/>
          <w:lang w:eastAsia="zh-CN"/>
        </w:rPr>
        <w:t>6</w:t>
      </w:r>
      <w:r>
        <w:tab/>
      </w:r>
      <w:r>
        <w:rPr>
          <w:rFonts w:hint="eastAsia"/>
          <w:lang w:eastAsia="zh-CN"/>
        </w:rPr>
        <w:t>Co-existence study</w:t>
      </w:r>
      <w:r>
        <w:tab/>
      </w:r>
      <w:r>
        <w:fldChar w:fldCharType="begin"/>
      </w:r>
      <w:r>
        <w:instrText xml:space="preserve"> PAGEREF _Toc19655 \h </w:instrText>
      </w:r>
      <w:r>
        <w:fldChar w:fldCharType="separate"/>
      </w:r>
      <w:r>
        <w:t>12</w:t>
      </w:r>
      <w:r>
        <w:fldChar w:fldCharType="end"/>
      </w:r>
      <w:r>
        <w:fldChar w:fldCharType="end"/>
      </w:r>
    </w:p>
    <w:p>
      <w:pPr>
        <w:pStyle w:val="21"/>
        <w:tabs>
          <w:tab w:val="right" w:leader="dot" w:pos="9641"/>
          <w:tab w:val="clear" w:pos="9639"/>
        </w:tabs>
      </w:pPr>
      <w:r>
        <w:fldChar w:fldCharType="begin"/>
      </w:r>
      <w:r>
        <w:instrText xml:space="preserve"> HYPERLINK \l _Toc2628 </w:instrText>
      </w:r>
      <w:r>
        <w:fldChar w:fldCharType="separate"/>
      </w:r>
      <w:r>
        <w:rPr>
          <w:rFonts w:hint="eastAsia"/>
          <w:lang w:eastAsia="en-US"/>
        </w:rPr>
        <w:t xml:space="preserve">6.1 </w:t>
      </w:r>
      <w:r>
        <w:rPr>
          <w:lang w:eastAsia="en-US"/>
        </w:rPr>
        <w:t>Co-existence simulation scenario</w:t>
      </w:r>
      <w:r>
        <w:tab/>
      </w:r>
      <w:r>
        <w:fldChar w:fldCharType="begin"/>
      </w:r>
      <w:r>
        <w:instrText xml:space="preserve"> PAGEREF _Toc2628 \h </w:instrText>
      </w:r>
      <w:r>
        <w:fldChar w:fldCharType="separate"/>
      </w:r>
      <w:r>
        <w:t>12</w:t>
      </w:r>
      <w:r>
        <w:fldChar w:fldCharType="end"/>
      </w:r>
      <w:r>
        <w:fldChar w:fldCharType="end"/>
      </w:r>
    </w:p>
    <w:p>
      <w:pPr>
        <w:pStyle w:val="21"/>
        <w:tabs>
          <w:tab w:val="right" w:leader="dot" w:pos="9641"/>
          <w:tab w:val="clear" w:pos="9639"/>
        </w:tabs>
      </w:pPr>
      <w:r>
        <w:fldChar w:fldCharType="begin"/>
      </w:r>
      <w:r>
        <w:instrText xml:space="preserve"> HYPERLINK \l _Toc12307 </w:instrText>
      </w:r>
      <w:r>
        <w:fldChar w:fldCharType="separate"/>
      </w:r>
      <w:r>
        <w:rPr>
          <w:rFonts w:hint="eastAsia"/>
        </w:rPr>
        <w:t xml:space="preserve">6.2 </w:t>
      </w:r>
      <w:r>
        <w:t>Co-existence simulation assumption</w:t>
      </w:r>
      <w:r>
        <w:tab/>
      </w:r>
      <w:r>
        <w:fldChar w:fldCharType="begin"/>
      </w:r>
      <w:r>
        <w:instrText xml:space="preserve"> PAGEREF _Toc12307 \h </w:instrText>
      </w:r>
      <w:r>
        <w:fldChar w:fldCharType="separate"/>
      </w:r>
      <w:r>
        <w:t>13</w:t>
      </w:r>
      <w:r>
        <w:fldChar w:fldCharType="end"/>
      </w:r>
      <w:r>
        <w:fldChar w:fldCharType="end"/>
      </w:r>
    </w:p>
    <w:p>
      <w:pPr>
        <w:pStyle w:val="21"/>
        <w:tabs>
          <w:tab w:val="right" w:leader="dot" w:pos="9641"/>
          <w:tab w:val="clear" w:pos="9639"/>
        </w:tabs>
      </w:pPr>
      <w:r>
        <w:fldChar w:fldCharType="begin"/>
      </w:r>
      <w:r>
        <w:instrText xml:space="preserve"> HYPERLINK \l _Toc1925 </w:instrText>
      </w:r>
      <w:r>
        <w:fldChar w:fldCharType="separate"/>
      </w:r>
      <w:r>
        <w:rPr>
          <w:rFonts w:hint="eastAsia"/>
        </w:rPr>
        <w:t xml:space="preserve">6.2.1 </w:t>
      </w:r>
      <w:r>
        <w:t>Network layout model</w:t>
      </w:r>
      <w:r>
        <w:tab/>
      </w:r>
      <w:r>
        <w:fldChar w:fldCharType="begin"/>
      </w:r>
      <w:r>
        <w:instrText xml:space="preserve"> PAGEREF _Toc1925 \h </w:instrText>
      </w:r>
      <w:r>
        <w:fldChar w:fldCharType="separate"/>
      </w:r>
      <w:r>
        <w:t>13</w:t>
      </w:r>
      <w:r>
        <w:fldChar w:fldCharType="end"/>
      </w:r>
      <w:r>
        <w:fldChar w:fldCharType="end"/>
      </w:r>
    </w:p>
    <w:p>
      <w:pPr>
        <w:pStyle w:val="21"/>
        <w:tabs>
          <w:tab w:val="right" w:leader="dot" w:pos="9641"/>
          <w:tab w:val="clear" w:pos="9639"/>
        </w:tabs>
      </w:pPr>
      <w:r>
        <w:fldChar w:fldCharType="begin"/>
      </w:r>
      <w:r>
        <w:instrText xml:space="preserve"> HYPERLINK \l _Toc29146 </w:instrText>
      </w:r>
      <w:r>
        <w:fldChar w:fldCharType="separate"/>
      </w:r>
      <w:r>
        <w:rPr>
          <w:rFonts w:hint="eastAsia"/>
          <w:lang w:eastAsia="zh-CN"/>
        </w:rPr>
        <w:t xml:space="preserve">6.2.1.1 </w:t>
      </w:r>
      <w:r>
        <w:t>Co-existence between ATG and NR terrestrial network</w:t>
      </w:r>
      <w:r>
        <w:tab/>
      </w:r>
      <w:r>
        <w:fldChar w:fldCharType="begin"/>
      </w:r>
      <w:r>
        <w:instrText xml:space="preserve"> PAGEREF _Toc29146 \h </w:instrText>
      </w:r>
      <w:r>
        <w:fldChar w:fldCharType="separate"/>
      </w:r>
      <w:r>
        <w:t>13</w:t>
      </w:r>
      <w:r>
        <w:fldChar w:fldCharType="end"/>
      </w:r>
      <w:r>
        <w:fldChar w:fldCharType="end"/>
      </w:r>
    </w:p>
    <w:p>
      <w:pPr>
        <w:pStyle w:val="21"/>
        <w:tabs>
          <w:tab w:val="right" w:leader="dot" w:pos="9641"/>
          <w:tab w:val="clear" w:pos="9639"/>
        </w:tabs>
      </w:pPr>
      <w:r>
        <w:fldChar w:fldCharType="begin"/>
      </w:r>
      <w:r>
        <w:instrText xml:space="preserve"> HYPERLINK \l _Toc5221 </w:instrText>
      </w:r>
      <w:r>
        <w:fldChar w:fldCharType="separate"/>
      </w:r>
      <w:r>
        <w:rPr>
          <w:rFonts w:hint="eastAsia"/>
          <w:lang w:eastAsia="zh-CN"/>
        </w:rPr>
        <w:t>6.2.1.</w:t>
      </w:r>
      <w:r>
        <w:rPr>
          <w:lang w:eastAsia="zh-CN"/>
        </w:rPr>
        <w:t>2</w:t>
      </w:r>
      <w:r>
        <w:rPr>
          <w:rFonts w:hint="eastAsia"/>
          <w:lang w:eastAsia="zh-CN"/>
        </w:rPr>
        <w:t xml:space="preserve"> </w:t>
      </w:r>
      <w:r>
        <w:t>TN Network Layout</w:t>
      </w:r>
      <w:r>
        <w:tab/>
      </w:r>
      <w:r>
        <w:fldChar w:fldCharType="begin"/>
      </w:r>
      <w:r>
        <w:instrText xml:space="preserve"> PAGEREF _Toc5221 \h </w:instrText>
      </w:r>
      <w:r>
        <w:fldChar w:fldCharType="separate"/>
      </w:r>
      <w:r>
        <w:t>15</w:t>
      </w:r>
      <w:r>
        <w:fldChar w:fldCharType="end"/>
      </w:r>
      <w:r>
        <w:fldChar w:fldCharType="end"/>
      </w:r>
    </w:p>
    <w:p>
      <w:pPr>
        <w:pStyle w:val="21"/>
        <w:tabs>
          <w:tab w:val="right" w:leader="dot" w:pos="9641"/>
          <w:tab w:val="clear" w:pos="9639"/>
        </w:tabs>
      </w:pPr>
      <w:r>
        <w:fldChar w:fldCharType="begin"/>
      </w:r>
      <w:r>
        <w:instrText xml:space="preserve"> HYPERLINK \l _Toc26252 </w:instrText>
      </w:r>
      <w:r>
        <w:fldChar w:fldCharType="separate"/>
      </w:r>
      <w:r>
        <w:rPr>
          <w:rFonts w:hint="eastAsia"/>
          <w:lang w:eastAsia="zh-CN"/>
        </w:rPr>
        <w:t>6.2.1.</w:t>
      </w:r>
      <w:r>
        <w:rPr>
          <w:lang w:eastAsia="zh-CN"/>
        </w:rPr>
        <w:t>3</w:t>
      </w:r>
      <w:r>
        <w:rPr>
          <w:rFonts w:hint="eastAsia"/>
          <w:lang w:eastAsia="zh-CN"/>
        </w:rPr>
        <w:t xml:space="preserve"> </w:t>
      </w:r>
      <w:r>
        <w:t>ATG Network Layout</w:t>
      </w:r>
      <w:r>
        <w:tab/>
      </w:r>
      <w:r>
        <w:fldChar w:fldCharType="begin"/>
      </w:r>
      <w:r>
        <w:instrText xml:space="preserve"> PAGEREF _Toc26252 \h </w:instrText>
      </w:r>
      <w:r>
        <w:fldChar w:fldCharType="separate"/>
      </w:r>
      <w:r>
        <w:t>15</w:t>
      </w:r>
      <w:r>
        <w:fldChar w:fldCharType="end"/>
      </w:r>
      <w:r>
        <w:fldChar w:fldCharType="end"/>
      </w:r>
    </w:p>
    <w:p>
      <w:pPr>
        <w:pStyle w:val="21"/>
        <w:tabs>
          <w:tab w:val="right" w:leader="dot" w:pos="9641"/>
          <w:tab w:val="clear" w:pos="9639"/>
        </w:tabs>
      </w:pPr>
      <w:r>
        <w:fldChar w:fldCharType="begin"/>
      </w:r>
      <w:r>
        <w:instrText xml:space="preserve"> HYPERLINK \l _Toc25267 </w:instrText>
      </w:r>
      <w:r>
        <w:fldChar w:fldCharType="separate"/>
      </w:r>
      <w:r>
        <w:t>6.2.1.4 Non-synchronized scenarios network layout</w:t>
      </w:r>
      <w:r>
        <w:tab/>
      </w:r>
      <w:r>
        <w:fldChar w:fldCharType="begin"/>
      </w:r>
      <w:r>
        <w:instrText xml:space="preserve"> PAGEREF _Toc25267 \h </w:instrText>
      </w:r>
      <w:r>
        <w:fldChar w:fldCharType="separate"/>
      </w:r>
      <w:r>
        <w:t>16</w:t>
      </w:r>
      <w:r>
        <w:fldChar w:fldCharType="end"/>
      </w:r>
      <w:r>
        <w:fldChar w:fldCharType="end"/>
      </w:r>
    </w:p>
    <w:p>
      <w:pPr>
        <w:pStyle w:val="21"/>
        <w:tabs>
          <w:tab w:val="right" w:leader="dot" w:pos="9641"/>
          <w:tab w:val="clear" w:pos="9639"/>
        </w:tabs>
      </w:pPr>
      <w:r>
        <w:fldChar w:fldCharType="begin"/>
      </w:r>
      <w:r>
        <w:instrText xml:space="preserve"> HYPERLINK \l _Toc30367 </w:instrText>
      </w:r>
      <w:r>
        <w:fldChar w:fldCharType="separate"/>
      </w:r>
      <w:r>
        <w:rPr>
          <w:lang w:val="en-GB" w:eastAsia="ja-JP"/>
        </w:rPr>
        <w:t xml:space="preserve">Case 1 - </w:t>
      </w:r>
      <w:r>
        <w:t>Angle between ATG BS boresight and nearest TN BS boresight in azimuth is 0 degree</w:t>
      </w:r>
      <w:r>
        <w:tab/>
      </w:r>
      <w:r>
        <w:fldChar w:fldCharType="begin"/>
      </w:r>
      <w:r>
        <w:instrText xml:space="preserve"> PAGEREF _Toc30367 \h </w:instrText>
      </w:r>
      <w:r>
        <w:fldChar w:fldCharType="separate"/>
      </w:r>
      <w:r>
        <w:t>16</w:t>
      </w:r>
      <w:r>
        <w:fldChar w:fldCharType="end"/>
      </w:r>
      <w:r>
        <w:fldChar w:fldCharType="end"/>
      </w:r>
    </w:p>
    <w:p>
      <w:pPr>
        <w:pStyle w:val="21"/>
        <w:tabs>
          <w:tab w:val="right" w:leader="dot" w:pos="9641"/>
          <w:tab w:val="clear" w:pos="9639"/>
        </w:tabs>
      </w:pPr>
      <w:r>
        <w:fldChar w:fldCharType="begin"/>
      </w:r>
      <w:r>
        <w:instrText xml:space="preserve"> HYPERLINK \l _Toc16679 </w:instrText>
      </w:r>
      <w:r>
        <w:fldChar w:fldCharType="separate"/>
      </w:r>
      <w:r>
        <w:rPr>
          <w:lang w:val="en-GB" w:eastAsia="ja-JP"/>
        </w:rPr>
        <w:t xml:space="preserve">Case 2 - </w:t>
      </w:r>
      <w:r>
        <w:t>Angle between ATG BS boresight and nearest TN BS boresight in azimuth is 30 degrees</w:t>
      </w:r>
      <w:r>
        <w:tab/>
      </w:r>
      <w:r>
        <w:fldChar w:fldCharType="begin"/>
      </w:r>
      <w:r>
        <w:instrText xml:space="preserve"> PAGEREF _Toc16679 \h </w:instrText>
      </w:r>
      <w:r>
        <w:fldChar w:fldCharType="separate"/>
      </w:r>
      <w:r>
        <w:t>17</w:t>
      </w:r>
      <w:r>
        <w:fldChar w:fldCharType="end"/>
      </w:r>
      <w:r>
        <w:fldChar w:fldCharType="end"/>
      </w:r>
    </w:p>
    <w:p>
      <w:pPr>
        <w:pStyle w:val="21"/>
        <w:tabs>
          <w:tab w:val="right" w:leader="dot" w:pos="9641"/>
          <w:tab w:val="clear" w:pos="9639"/>
        </w:tabs>
      </w:pPr>
      <w:r>
        <w:fldChar w:fldCharType="begin"/>
      </w:r>
      <w:r>
        <w:instrText xml:space="preserve"> HYPERLINK \l _Toc12375 </w:instrText>
      </w:r>
      <w:r>
        <w:fldChar w:fldCharType="separate"/>
      </w:r>
      <w:r>
        <w:rPr>
          <w:lang w:val="en-GB" w:eastAsia="ja-JP"/>
        </w:rPr>
        <w:t xml:space="preserve">Case 3 - </w:t>
      </w:r>
      <w:r>
        <w:t>Angle between ATG BS boresight and nearest TN BS boresight in azimuth is 60 degrees</w:t>
      </w:r>
      <w:r>
        <w:tab/>
      </w:r>
      <w:r>
        <w:fldChar w:fldCharType="begin"/>
      </w:r>
      <w:r>
        <w:instrText xml:space="preserve"> PAGEREF _Toc12375 \h </w:instrText>
      </w:r>
      <w:r>
        <w:fldChar w:fldCharType="separate"/>
      </w:r>
      <w:r>
        <w:t>18</w:t>
      </w:r>
      <w:r>
        <w:fldChar w:fldCharType="end"/>
      </w:r>
      <w:r>
        <w:fldChar w:fldCharType="end"/>
      </w:r>
    </w:p>
    <w:p>
      <w:pPr>
        <w:pStyle w:val="21"/>
        <w:tabs>
          <w:tab w:val="right" w:leader="dot" w:pos="9641"/>
          <w:tab w:val="clear" w:pos="9639"/>
        </w:tabs>
      </w:pPr>
      <w:r>
        <w:fldChar w:fldCharType="begin"/>
      </w:r>
      <w:r>
        <w:instrText xml:space="preserve"> HYPERLINK \l _Toc4442 </w:instrText>
      </w:r>
      <w:r>
        <w:fldChar w:fldCharType="separate"/>
      </w:r>
      <w:r>
        <w:rPr>
          <w:rFonts w:hint="eastAsia"/>
          <w:lang w:eastAsia="zh-CN"/>
        </w:rPr>
        <w:t xml:space="preserve">6.2.2 </w:t>
      </w:r>
      <w:r>
        <w:t>System parameters</w:t>
      </w:r>
      <w:r>
        <w:tab/>
      </w:r>
      <w:r>
        <w:fldChar w:fldCharType="begin"/>
      </w:r>
      <w:r>
        <w:instrText xml:space="preserve"> PAGEREF _Toc4442 \h </w:instrText>
      </w:r>
      <w:r>
        <w:fldChar w:fldCharType="separate"/>
      </w:r>
      <w:r>
        <w:t>19</w:t>
      </w:r>
      <w:r>
        <w:fldChar w:fldCharType="end"/>
      </w:r>
      <w:r>
        <w:fldChar w:fldCharType="end"/>
      </w:r>
    </w:p>
    <w:p>
      <w:pPr>
        <w:pStyle w:val="21"/>
        <w:tabs>
          <w:tab w:val="right" w:leader="dot" w:pos="9641"/>
          <w:tab w:val="clear" w:pos="9639"/>
        </w:tabs>
      </w:pPr>
      <w:r>
        <w:fldChar w:fldCharType="begin"/>
      </w:r>
      <w:r>
        <w:instrText xml:space="preserve"> HYPERLINK \l _Toc20938 </w:instrText>
      </w:r>
      <w:r>
        <w:fldChar w:fldCharType="separate"/>
      </w:r>
      <w:r>
        <w:rPr>
          <w:rFonts w:hint="eastAsia"/>
        </w:rPr>
        <w:t xml:space="preserve">6.2.2.1 </w:t>
      </w:r>
      <w:r>
        <w:t>ATG parameters</w:t>
      </w:r>
      <w:r>
        <w:tab/>
      </w:r>
      <w:r>
        <w:fldChar w:fldCharType="begin"/>
      </w:r>
      <w:r>
        <w:instrText xml:space="preserve"> PAGEREF _Toc20938 \h </w:instrText>
      </w:r>
      <w:r>
        <w:fldChar w:fldCharType="separate"/>
      </w:r>
      <w:r>
        <w:t>19</w:t>
      </w:r>
      <w:r>
        <w:fldChar w:fldCharType="end"/>
      </w:r>
      <w:r>
        <w:fldChar w:fldCharType="end"/>
      </w:r>
    </w:p>
    <w:p>
      <w:pPr>
        <w:pStyle w:val="21"/>
        <w:tabs>
          <w:tab w:val="right" w:leader="dot" w:pos="9641"/>
          <w:tab w:val="clear" w:pos="9639"/>
        </w:tabs>
      </w:pPr>
      <w:r>
        <w:fldChar w:fldCharType="begin"/>
      </w:r>
      <w:r>
        <w:instrText xml:space="preserve"> HYPERLINK \l _Toc22654 </w:instrText>
      </w:r>
      <w:r>
        <w:fldChar w:fldCharType="separate"/>
      </w:r>
      <w:r>
        <w:rPr>
          <w:rFonts w:hint="eastAsia"/>
        </w:rPr>
        <w:t xml:space="preserve">6.2.2.2 </w:t>
      </w:r>
      <w:r>
        <w:t>ATG UE parameters</w:t>
      </w:r>
      <w:r>
        <w:tab/>
      </w:r>
      <w:r>
        <w:fldChar w:fldCharType="begin"/>
      </w:r>
      <w:r>
        <w:instrText xml:space="preserve"> PAGEREF _Toc22654 \h </w:instrText>
      </w:r>
      <w:r>
        <w:fldChar w:fldCharType="separate"/>
      </w:r>
      <w:r>
        <w:t>20</w:t>
      </w:r>
      <w:r>
        <w:fldChar w:fldCharType="end"/>
      </w:r>
      <w:r>
        <w:fldChar w:fldCharType="end"/>
      </w:r>
    </w:p>
    <w:p>
      <w:pPr>
        <w:pStyle w:val="21"/>
        <w:tabs>
          <w:tab w:val="right" w:leader="dot" w:pos="9641"/>
          <w:tab w:val="clear" w:pos="9639"/>
        </w:tabs>
      </w:pPr>
      <w:r>
        <w:fldChar w:fldCharType="begin"/>
      </w:r>
      <w:r>
        <w:instrText xml:space="preserve"> HYPERLINK \l _Toc21770 </w:instrText>
      </w:r>
      <w:r>
        <w:fldChar w:fldCharType="separate"/>
      </w:r>
      <w:r>
        <w:rPr>
          <w:rFonts w:hint="eastAsia"/>
        </w:rPr>
        <w:t xml:space="preserve">6.2.2.3 </w:t>
      </w:r>
      <w:r>
        <w:t>TN BS and UE parameters</w:t>
      </w:r>
      <w:r>
        <w:tab/>
      </w:r>
      <w:r>
        <w:fldChar w:fldCharType="begin"/>
      </w:r>
      <w:r>
        <w:instrText xml:space="preserve"> PAGEREF _Toc21770 \h </w:instrText>
      </w:r>
      <w:r>
        <w:fldChar w:fldCharType="separate"/>
      </w:r>
      <w:r>
        <w:t>21</w:t>
      </w:r>
      <w:r>
        <w:fldChar w:fldCharType="end"/>
      </w:r>
      <w:r>
        <w:fldChar w:fldCharType="end"/>
      </w:r>
    </w:p>
    <w:p>
      <w:pPr>
        <w:pStyle w:val="21"/>
        <w:tabs>
          <w:tab w:val="right" w:leader="dot" w:pos="9641"/>
          <w:tab w:val="clear" w:pos="9639"/>
        </w:tabs>
      </w:pPr>
      <w:r>
        <w:fldChar w:fldCharType="begin"/>
      </w:r>
      <w:r>
        <w:instrText xml:space="preserve"> HYPERLINK \l _Toc13148 </w:instrText>
      </w:r>
      <w:r>
        <w:fldChar w:fldCharType="separate"/>
      </w:r>
      <w:r>
        <w:rPr>
          <w:rFonts w:hint="eastAsia"/>
          <w:lang w:eastAsia="zh-CN"/>
        </w:rPr>
        <w:t xml:space="preserve">6.2.3 </w:t>
      </w:r>
      <w:r>
        <w:t>Antenna and beamforming pattern modelling</w:t>
      </w:r>
      <w:r>
        <w:tab/>
      </w:r>
      <w:r>
        <w:fldChar w:fldCharType="begin"/>
      </w:r>
      <w:r>
        <w:instrText xml:space="preserve"> PAGEREF _Toc13148 \h </w:instrText>
      </w:r>
      <w:r>
        <w:fldChar w:fldCharType="separate"/>
      </w:r>
      <w:r>
        <w:t>21</w:t>
      </w:r>
      <w:r>
        <w:fldChar w:fldCharType="end"/>
      </w:r>
      <w:r>
        <w:fldChar w:fldCharType="end"/>
      </w:r>
    </w:p>
    <w:p>
      <w:pPr>
        <w:pStyle w:val="21"/>
        <w:tabs>
          <w:tab w:val="right" w:leader="dot" w:pos="9641"/>
          <w:tab w:val="clear" w:pos="9639"/>
        </w:tabs>
      </w:pPr>
      <w:r>
        <w:fldChar w:fldCharType="begin"/>
      </w:r>
      <w:r>
        <w:instrText xml:space="preserve"> HYPERLINK \l _Toc19125 </w:instrText>
      </w:r>
      <w:r>
        <w:fldChar w:fldCharType="separate"/>
      </w:r>
      <w:r>
        <w:rPr>
          <w:rFonts w:hint="eastAsia"/>
        </w:rPr>
        <w:t xml:space="preserve">6.2.3.1 </w:t>
      </w:r>
      <w:r>
        <w:t>ATG BS antenna model</w:t>
      </w:r>
      <w:r>
        <w:tab/>
      </w:r>
      <w:r>
        <w:fldChar w:fldCharType="begin"/>
      </w:r>
      <w:r>
        <w:instrText xml:space="preserve"> PAGEREF _Toc19125 \h </w:instrText>
      </w:r>
      <w:r>
        <w:fldChar w:fldCharType="separate"/>
      </w:r>
      <w:r>
        <w:t>21</w:t>
      </w:r>
      <w:r>
        <w:fldChar w:fldCharType="end"/>
      </w:r>
      <w:r>
        <w:fldChar w:fldCharType="end"/>
      </w:r>
    </w:p>
    <w:p>
      <w:pPr>
        <w:pStyle w:val="21"/>
        <w:tabs>
          <w:tab w:val="right" w:leader="dot" w:pos="9641"/>
          <w:tab w:val="clear" w:pos="9639"/>
        </w:tabs>
      </w:pPr>
      <w:r>
        <w:fldChar w:fldCharType="begin"/>
      </w:r>
      <w:r>
        <w:instrText xml:space="preserve"> HYPERLINK \l _Toc9005 </w:instrText>
      </w:r>
      <w:r>
        <w:fldChar w:fldCharType="separate"/>
      </w:r>
      <w:r>
        <w:rPr>
          <w:rFonts w:hint="eastAsia"/>
        </w:rPr>
        <w:t xml:space="preserve">6.2.3.2 </w:t>
      </w:r>
      <w:r>
        <w:t>ATG UE antenna model</w:t>
      </w:r>
      <w:r>
        <w:tab/>
      </w:r>
      <w:r>
        <w:fldChar w:fldCharType="begin"/>
      </w:r>
      <w:r>
        <w:instrText xml:space="preserve"> PAGEREF _Toc9005 \h </w:instrText>
      </w:r>
      <w:r>
        <w:fldChar w:fldCharType="separate"/>
      </w:r>
      <w:r>
        <w:t>22</w:t>
      </w:r>
      <w:r>
        <w:fldChar w:fldCharType="end"/>
      </w:r>
      <w:r>
        <w:fldChar w:fldCharType="end"/>
      </w:r>
    </w:p>
    <w:p>
      <w:pPr>
        <w:pStyle w:val="21"/>
        <w:tabs>
          <w:tab w:val="right" w:leader="dot" w:pos="9641"/>
          <w:tab w:val="clear" w:pos="9639"/>
        </w:tabs>
      </w:pPr>
      <w:r>
        <w:fldChar w:fldCharType="begin"/>
      </w:r>
      <w:r>
        <w:instrText xml:space="preserve"> HYPERLINK \l _Toc24042 </w:instrText>
      </w:r>
      <w:r>
        <w:fldChar w:fldCharType="separate"/>
      </w:r>
      <w:r>
        <w:rPr>
          <w:rFonts w:hint="eastAsia"/>
        </w:rPr>
        <w:t xml:space="preserve">6.2.3.3 </w:t>
      </w:r>
      <w:r>
        <w:t>TN BS antenna model</w:t>
      </w:r>
      <w:r>
        <w:tab/>
      </w:r>
      <w:r>
        <w:fldChar w:fldCharType="begin"/>
      </w:r>
      <w:r>
        <w:instrText xml:space="preserve"> PAGEREF _Toc24042 \h </w:instrText>
      </w:r>
      <w:r>
        <w:fldChar w:fldCharType="separate"/>
      </w:r>
      <w:r>
        <w:t>23</w:t>
      </w:r>
      <w:r>
        <w:fldChar w:fldCharType="end"/>
      </w:r>
      <w:r>
        <w:fldChar w:fldCharType="end"/>
      </w:r>
    </w:p>
    <w:p>
      <w:pPr>
        <w:pStyle w:val="21"/>
        <w:tabs>
          <w:tab w:val="right" w:leader="dot" w:pos="9641"/>
          <w:tab w:val="clear" w:pos="9639"/>
        </w:tabs>
      </w:pPr>
      <w:r>
        <w:fldChar w:fldCharType="begin"/>
      </w:r>
      <w:r>
        <w:instrText xml:space="preserve"> HYPERLINK \l _Toc16951 </w:instrText>
      </w:r>
      <w:r>
        <w:fldChar w:fldCharType="separate"/>
      </w:r>
      <w:r>
        <w:rPr>
          <w:rFonts w:hint="eastAsia"/>
        </w:rPr>
        <w:t>6</w:t>
      </w:r>
      <w:r>
        <w:t>.</w:t>
      </w:r>
      <w:r>
        <w:rPr>
          <w:rFonts w:hint="eastAsia"/>
        </w:rPr>
        <w:t>2</w:t>
      </w:r>
      <w:r>
        <w:t>.</w:t>
      </w:r>
      <w:r>
        <w:rPr>
          <w:rFonts w:hint="eastAsia"/>
        </w:rPr>
        <w:t>3</w:t>
      </w:r>
      <w:r>
        <w:t>.</w:t>
      </w:r>
      <w:r>
        <w:rPr>
          <w:rFonts w:hint="eastAsia"/>
        </w:rPr>
        <w:t xml:space="preserve">4 </w:t>
      </w:r>
      <w:r>
        <w:t>TN UE antenna model</w:t>
      </w:r>
      <w:r>
        <w:tab/>
      </w:r>
      <w:r>
        <w:fldChar w:fldCharType="begin"/>
      </w:r>
      <w:r>
        <w:instrText xml:space="preserve"> PAGEREF _Toc16951 \h </w:instrText>
      </w:r>
      <w:r>
        <w:fldChar w:fldCharType="separate"/>
      </w:r>
      <w:r>
        <w:t>24</w:t>
      </w:r>
      <w:r>
        <w:fldChar w:fldCharType="end"/>
      </w:r>
      <w:r>
        <w:fldChar w:fldCharType="end"/>
      </w:r>
    </w:p>
    <w:p>
      <w:pPr>
        <w:pStyle w:val="21"/>
        <w:tabs>
          <w:tab w:val="right" w:leader="dot" w:pos="9641"/>
          <w:tab w:val="clear" w:pos="9639"/>
        </w:tabs>
      </w:pPr>
      <w:r>
        <w:fldChar w:fldCharType="begin"/>
      </w:r>
      <w:r>
        <w:instrText xml:space="preserve"> HYPERLINK \l _Toc29935 </w:instrText>
      </w:r>
      <w:r>
        <w:fldChar w:fldCharType="separate"/>
      </w:r>
      <w:r>
        <w:rPr>
          <w:rFonts w:hint="eastAsia"/>
          <w:lang w:eastAsia="zh-CN"/>
        </w:rPr>
        <w:t xml:space="preserve">6.2.4 </w:t>
      </w:r>
      <w:r>
        <w:t>ACLR and ACS modelling</w:t>
      </w:r>
      <w:r>
        <w:tab/>
      </w:r>
      <w:r>
        <w:fldChar w:fldCharType="begin"/>
      </w:r>
      <w:r>
        <w:instrText xml:space="preserve"> PAGEREF _Toc29935 \h </w:instrText>
      </w:r>
      <w:r>
        <w:fldChar w:fldCharType="separate"/>
      </w:r>
      <w:r>
        <w:t>24</w:t>
      </w:r>
      <w:r>
        <w:fldChar w:fldCharType="end"/>
      </w:r>
      <w:r>
        <w:fldChar w:fldCharType="end"/>
      </w:r>
    </w:p>
    <w:p>
      <w:pPr>
        <w:pStyle w:val="21"/>
        <w:tabs>
          <w:tab w:val="right" w:leader="dot" w:pos="9641"/>
          <w:tab w:val="clear" w:pos="9639"/>
        </w:tabs>
      </w:pPr>
      <w:r>
        <w:fldChar w:fldCharType="begin"/>
      </w:r>
      <w:r>
        <w:instrText xml:space="preserve"> HYPERLINK \l _Toc9818 </w:instrText>
      </w:r>
      <w:r>
        <w:fldChar w:fldCharType="separate"/>
      </w:r>
      <w:r>
        <w:rPr>
          <w:rFonts w:hint="eastAsia"/>
          <w:lang w:eastAsia="zh-CN"/>
        </w:rPr>
        <w:t xml:space="preserve">6.2.5 </w:t>
      </w:r>
      <w:r>
        <w:rPr>
          <w:lang w:eastAsia="zh-CN"/>
        </w:rPr>
        <w:t>Propagation model</w:t>
      </w:r>
      <w:r>
        <w:tab/>
      </w:r>
      <w:r>
        <w:fldChar w:fldCharType="begin"/>
      </w:r>
      <w:r>
        <w:instrText xml:space="preserve"> PAGEREF _Toc9818 \h </w:instrText>
      </w:r>
      <w:r>
        <w:fldChar w:fldCharType="separate"/>
      </w:r>
      <w:r>
        <w:t>25</w:t>
      </w:r>
      <w:r>
        <w:fldChar w:fldCharType="end"/>
      </w:r>
      <w:r>
        <w:fldChar w:fldCharType="end"/>
      </w:r>
    </w:p>
    <w:p>
      <w:pPr>
        <w:pStyle w:val="21"/>
        <w:tabs>
          <w:tab w:val="right" w:leader="dot" w:pos="9641"/>
          <w:tab w:val="clear" w:pos="9639"/>
        </w:tabs>
      </w:pPr>
      <w:r>
        <w:fldChar w:fldCharType="begin"/>
      </w:r>
      <w:r>
        <w:instrText xml:space="preserve"> HYPERLINK \l _Toc15378 </w:instrText>
      </w:r>
      <w:r>
        <w:fldChar w:fldCharType="separate"/>
      </w:r>
      <w:r>
        <w:rPr>
          <w:rFonts w:hint="eastAsia"/>
        </w:rPr>
        <w:t xml:space="preserve">6.2.5.1 </w:t>
      </w:r>
      <w:r>
        <w:t>Propagation model between TN UE and ATG UE</w:t>
      </w:r>
      <w:r>
        <w:tab/>
      </w:r>
      <w:r>
        <w:fldChar w:fldCharType="begin"/>
      </w:r>
      <w:r>
        <w:instrText xml:space="preserve"> PAGEREF _Toc15378 \h </w:instrText>
      </w:r>
      <w:r>
        <w:fldChar w:fldCharType="separate"/>
      </w:r>
      <w:r>
        <w:t>25</w:t>
      </w:r>
      <w:r>
        <w:fldChar w:fldCharType="end"/>
      </w:r>
      <w:r>
        <w:fldChar w:fldCharType="end"/>
      </w:r>
    </w:p>
    <w:p>
      <w:pPr>
        <w:pStyle w:val="21"/>
        <w:tabs>
          <w:tab w:val="right" w:leader="dot" w:pos="9641"/>
          <w:tab w:val="clear" w:pos="9639"/>
        </w:tabs>
      </w:pPr>
      <w:r>
        <w:fldChar w:fldCharType="begin"/>
      </w:r>
      <w:r>
        <w:instrText xml:space="preserve"> HYPERLINK \l _Toc10475 </w:instrText>
      </w:r>
      <w:r>
        <w:fldChar w:fldCharType="separate"/>
      </w:r>
      <w:r>
        <w:rPr>
          <w:rFonts w:hint="eastAsia"/>
        </w:rPr>
        <w:t xml:space="preserve">6.2.5.2 </w:t>
      </w:r>
      <w:r>
        <w:t>Propagation model between TN BS and TN UE</w:t>
      </w:r>
      <w:r>
        <w:tab/>
      </w:r>
      <w:r>
        <w:fldChar w:fldCharType="begin"/>
      </w:r>
      <w:r>
        <w:instrText xml:space="preserve"> PAGEREF _Toc10475 \h </w:instrText>
      </w:r>
      <w:r>
        <w:fldChar w:fldCharType="separate"/>
      </w:r>
      <w:r>
        <w:t>26</w:t>
      </w:r>
      <w:r>
        <w:fldChar w:fldCharType="end"/>
      </w:r>
      <w:r>
        <w:fldChar w:fldCharType="end"/>
      </w:r>
    </w:p>
    <w:p>
      <w:pPr>
        <w:pStyle w:val="21"/>
        <w:tabs>
          <w:tab w:val="right" w:leader="dot" w:pos="9641"/>
          <w:tab w:val="clear" w:pos="9639"/>
        </w:tabs>
      </w:pPr>
      <w:r>
        <w:fldChar w:fldCharType="begin"/>
      </w:r>
      <w:r>
        <w:instrText xml:space="preserve"> HYPERLINK \l _Toc5261 </w:instrText>
      </w:r>
      <w:r>
        <w:fldChar w:fldCharType="separate"/>
      </w:r>
      <w:r>
        <w:rPr>
          <w:rFonts w:hint="eastAsia"/>
        </w:rPr>
        <w:t xml:space="preserve">6.2.5.3 </w:t>
      </w:r>
      <w:r>
        <w:t>Propagation model between ATG BS and TN BS</w:t>
      </w:r>
      <w:r>
        <w:tab/>
      </w:r>
      <w:r>
        <w:fldChar w:fldCharType="begin"/>
      </w:r>
      <w:r>
        <w:instrText xml:space="preserve"> PAGEREF _Toc5261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_Toc18069 </w:instrText>
      </w:r>
      <w:r>
        <w:fldChar w:fldCharType="separate"/>
      </w:r>
      <w:r>
        <w:rPr>
          <w:rFonts w:hint="eastAsia"/>
        </w:rPr>
        <w:t xml:space="preserve">6.2.5.4 </w:t>
      </w:r>
      <w:r>
        <w:t>Propagation model between ATG BS and TN UE</w:t>
      </w:r>
      <w:r>
        <w:tab/>
      </w:r>
      <w:r>
        <w:fldChar w:fldCharType="begin"/>
      </w:r>
      <w:r>
        <w:instrText xml:space="preserve"> PAGEREF _Toc18069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_Toc28521 </w:instrText>
      </w:r>
      <w:r>
        <w:fldChar w:fldCharType="separate"/>
      </w:r>
      <w:r>
        <w:rPr>
          <w:rFonts w:hint="eastAsia"/>
        </w:rPr>
        <w:t xml:space="preserve">6.2.5.5 </w:t>
      </w:r>
      <w:r>
        <w:t>Propagation model between TN BS and ATG UE</w:t>
      </w:r>
      <w:r>
        <w:tab/>
      </w:r>
      <w:r>
        <w:fldChar w:fldCharType="begin"/>
      </w:r>
      <w:r>
        <w:instrText xml:space="preserve"> PAGEREF _Toc28521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_Toc7959 </w:instrText>
      </w:r>
      <w:r>
        <w:fldChar w:fldCharType="separate"/>
      </w:r>
      <w:r>
        <w:rPr>
          <w:rFonts w:hint="eastAsia"/>
          <w:lang w:eastAsia="zh-CN"/>
        </w:rPr>
        <w:t xml:space="preserve">6.2.5.6 </w:t>
      </w:r>
      <w:r>
        <w:t>Propagation model between ATG BS and ATG UE</w:t>
      </w:r>
      <w:r>
        <w:tab/>
      </w:r>
      <w:r>
        <w:fldChar w:fldCharType="begin"/>
      </w:r>
      <w:r>
        <w:instrText xml:space="preserve"> PAGEREF _Toc7959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_Toc7360 </w:instrText>
      </w:r>
      <w:r>
        <w:fldChar w:fldCharType="separate"/>
      </w:r>
      <w:r>
        <w:rPr>
          <w:rFonts w:hint="eastAsia"/>
          <w:lang w:eastAsia="zh-CN"/>
        </w:rPr>
        <w:t xml:space="preserve">6.2.6 </w:t>
      </w:r>
      <w:r>
        <w:rPr>
          <w:lang w:eastAsia="zh-CN"/>
        </w:rPr>
        <w:t>Transmission power control model</w:t>
      </w:r>
      <w:r>
        <w:tab/>
      </w:r>
      <w:r>
        <w:fldChar w:fldCharType="begin"/>
      </w:r>
      <w:r>
        <w:instrText xml:space="preserve"> PAGEREF _Toc7360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_Toc7190 </w:instrText>
      </w:r>
      <w:r>
        <w:fldChar w:fldCharType="separate"/>
      </w:r>
      <w:r>
        <w:rPr>
          <w:rFonts w:hint="eastAsia"/>
        </w:rPr>
        <w:t xml:space="preserve">6.2.6.1 </w:t>
      </w:r>
      <w:r>
        <w:t>TN UL TPC</w:t>
      </w:r>
      <w:r>
        <w:tab/>
      </w:r>
      <w:r>
        <w:fldChar w:fldCharType="begin"/>
      </w:r>
      <w:r>
        <w:instrText xml:space="preserve"> PAGEREF _Toc7190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_Toc6608 </w:instrText>
      </w:r>
      <w:r>
        <w:fldChar w:fldCharType="separate"/>
      </w:r>
      <w:r>
        <w:rPr>
          <w:rFonts w:hint="eastAsia"/>
        </w:rPr>
        <w:t xml:space="preserve">6.2.6.2 </w:t>
      </w:r>
      <w:r>
        <w:t>TN DL TPC</w:t>
      </w:r>
      <w:r>
        <w:tab/>
      </w:r>
      <w:r>
        <w:fldChar w:fldCharType="begin"/>
      </w:r>
      <w:r>
        <w:instrText xml:space="preserve"> PAGEREF _Toc6608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_Toc16223 </w:instrText>
      </w:r>
      <w:r>
        <w:fldChar w:fldCharType="separate"/>
      </w:r>
      <w:r>
        <w:rPr>
          <w:rFonts w:hint="eastAsia"/>
        </w:rPr>
        <w:t xml:space="preserve">6.2.6.3 </w:t>
      </w:r>
      <w:r>
        <w:t>ATG UL TPC</w:t>
      </w:r>
      <w:r>
        <w:tab/>
      </w:r>
      <w:r>
        <w:fldChar w:fldCharType="begin"/>
      </w:r>
      <w:r>
        <w:instrText xml:space="preserve"> PAGEREF _Toc16223 \h </w:instrText>
      </w:r>
      <w:r>
        <w:fldChar w:fldCharType="separate"/>
      </w:r>
      <w:r>
        <w:t>30</w:t>
      </w:r>
      <w:r>
        <w:fldChar w:fldCharType="end"/>
      </w:r>
      <w:r>
        <w:fldChar w:fldCharType="end"/>
      </w:r>
    </w:p>
    <w:p>
      <w:pPr>
        <w:pStyle w:val="21"/>
        <w:tabs>
          <w:tab w:val="right" w:leader="dot" w:pos="9641"/>
          <w:tab w:val="clear" w:pos="9639"/>
        </w:tabs>
      </w:pPr>
      <w:r>
        <w:fldChar w:fldCharType="begin"/>
      </w:r>
      <w:r>
        <w:instrText xml:space="preserve"> HYPERLINK \l _Toc31917 </w:instrText>
      </w:r>
      <w:r>
        <w:fldChar w:fldCharType="separate"/>
      </w:r>
      <w:r>
        <w:rPr>
          <w:rFonts w:hint="eastAsia"/>
        </w:rPr>
        <w:t xml:space="preserve">6.2.6.4 </w:t>
      </w:r>
      <w:r>
        <w:t>ATG DL TPC</w:t>
      </w:r>
      <w:r>
        <w:tab/>
      </w:r>
      <w:r>
        <w:fldChar w:fldCharType="begin"/>
      </w:r>
      <w:r>
        <w:instrText xml:space="preserve"> PAGEREF _Toc31917 \h </w:instrText>
      </w:r>
      <w:r>
        <w:fldChar w:fldCharType="separate"/>
      </w:r>
      <w:r>
        <w:t>31</w:t>
      </w:r>
      <w:r>
        <w:fldChar w:fldCharType="end"/>
      </w:r>
      <w:r>
        <w:fldChar w:fldCharType="end"/>
      </w:r>
    </w:p>
    <w:p>
      <w:pPr>
        <w:pStyle w:val="21"/>
        <w:tabs>
          <w:tab w:val="right" w:leader="dot" w:pos="9641"/>
          <w:tab w:val="clear" w:pos="9639"/>
        </w:tabs>
      </w:pPr>
      <w:r>
        <w:fldChar w:fldCharType="begin"/>
      </w:r>
      <w:r>
        <w:instrText xml:space="preserve"> HYPERLINK \l _Toc23622 </w:instrText>
      </w:r>
      <w:r>
        <w:fldChar w:fldCharType="separate"/>
      </w:r>
      <w:r>
        <w:rPr>
          <w:rFonts w:hint="eastAsia"/>
          <w:lang w:eastAsia="zh-CN"/>
        </w:rPr>
        <w:t xml:space="preserve">6.2.7 </w:t>
      </w:r>
      <w:r>
        <w:rPr>
          <w:lang w:eastAsia="zh-CN"/>
        </w:rPr>
        <w:t>Received power model</w:t>
      </w:r>
      <w:r>
        <w:tab/>
      </w:r>
      <w:r>
        <w:fldChar w:fldCharType="begin"/>
      </w:r>
      <w:r>
        <w:instrText xml:space="preserve"> PAGEREF _Toc23622 \h </w:instrText>
      </w:r>
      <w:r>
        <w:fldChar w:fldCharType="separate"/>
      </w:r>
      <w:r>
        <w:t>31</w:t>
      </w:r>
      <w:r>
        <w:fldChar w:fldCharType="end"/>
      </w:r>
      <w:r>
        <w:fldChar w:fldCharType="end"/>
      </w:r>
    </w:p>
    <w:p>
      <w:pPr>
        <w:pStyle w:val="21"/>
        <w:tabs>
          <w:tab w:val="right" w:leader="dot" w:pos="9641"/>
          <w:tab w:val="clear" w:pos="9639"/>
        </w:tabs>
      </w:pPr>
      <w:r>
        <w:fldChar w:fldCharType="begin"/>
      </w:r>
      <w:r>
        <w:instrText xml:space="preserve"> HYPERLINK \l _Toc21152 </w:instrText>
      </w:r>
      <w:r>
        <w:fldChar w:fldCharType="separate"/>
      </w:r>
      <w:r>
        <w:rPr>
          <w:rFonts w:hint="eastAsia"/>
          <w:lang w:eastAsia="zh-CN"/>
        </w:rPr>
        <w:t xml:space="preserve">6.2.8 </w:t>
      </w:r>
      <w:r>
        <w:rPr>
          <w:lang w:eastAsia="zh-CN"/>
        </w:rPr>
        <w:t>Performance metric</w:t>
      </w:r>
      <w:r>
        <w:tab/>
      </w:r>
      <w:r>
        <w:fldChar w:fldCharType="begin"/>
      </w:r>
      <w:r>
        <w:instrText xml:space="preserve"> PAGEREF _Toc21152 \h </w:instrText>
      </w:r>
      <w:r>
        <w:fldChar w:fldCharType="separate"/>
      </w:r>
      <w:r>
        <w:t>32</w:t>
      </w:r>
      <w:r>
        <w:fldChar w:fldCharType="end"/>
      </w:r>
      <w:r>
        <w:fldChar w:fldCharType="end"/>
      </w:r>
    </w:p>
    <w:p>
      <w:pPr>
        <w:pStyle w:val="21"/>
        <w:tabs>
          <w:tab w:val="right" w:leader="dot" w:pos="9641"/>
          <w:tab w:val="clear" w:pos="9639"/>
        </w:tabs>
      </w:pPr>
      <w:r>
        <w:fldChar w:fldCharType="begin"/>
      </w:r>
      <w:r>
        <w:instrText xml:space="preserve"> HYPERLINK \l _Toc23824 </w:instrText>
      </w:r>
      <w:r>
        <w:fldChar w:fldCharType="separate"/>
      </w:r>
      <w:r>
        <w:rPr>
          <w:rFonts w:hint="eastAsia"/>
          <w:lang w:eastAsia="zh-CN"/>
        </w:rPr>
        <w:t xml:space="preserve">6.2.9 </w:t>
      </w:r>
      <w:r>
        <w:rPr>
          <w:lang w:eastAsia="zh-CN"/>
        </w:rPr>
        <w:t>Link level performance for NR ATG coexistence</w:t>
      </w:r>
      <w:r>
        <w:tab/>
      </w:r>
      <w:r>
        <w:fldChar w:fldCharType="begin"/>
      </w:r>
      <w:r>
        <w:instrText xml:space="preserve"> PAGEREF _Toc23824 \h </w:instrText>
      </w:r>
      <w:r>
        <w:fldChar w:fldCharType="separate"/>
      </w:r>
      <w:r>
        <w:t>32</w:t>
      </w:r>
      <w:r>
        <w:fldChar w:fldCharType="end"/>
      </w:r>
      <w:r>
        <w:fldChar w:fldCharType="end"/>
      </w:r>
    </w:p>
    <w:p>
      <w:pPr>
        <w:pStyle w:val="21"/>
        <w:tabs>
          <w:tab w:val="right" w:leader="dot" w:pos="9641"/>
          <w:tab w:val="clear" w:pos="9639"/>
        </w:tabs>
      </w:pPr>
      <w:r>
        <w:fldChar w:fldCharType="begin"/>
      </w:r>
      <w:r>
        <w:instrText xml:space="preserve"> HYPERLINK \l _Toc11896 </w:instrText>
      </w:r>
      <w:r>
        <w:fldChar w:fldCharType="separate"/>
      </w:r>
      <w:r>
        <w:rPr>
          <w:rFonts w:hint="eastAsia"/>
          <w:lang w:eastAsia="zh-CN"/>
        </w:rPr>
        <w:t xml:space="preserve">6.3 </w:t>
      </w:r>
      <w:r>
        <w:rPr>
          <w:lang w:eastAsia="zh-CN"/>
        </w:rPr>
        <w:t>Co-existence simulation methodology</w:t>
      </w:r>
      <w:r>
        <w:tab/>
      </w:r>
      <w:r>
        <w:fldChar w:fldCharType="begin"/>
      </w:r>
      <w:r>
        <w:instrText xml:space="preserve"> PAGEREF _Toc11896 \h </w:instrText>
      </w:r>
      <w:r>
        <w:fldChar w:fldCharType="separate"/>
      </w:r>
      <w:r>
        <w:t>33</w:t>
      </w:r>
      <w:r>
        <w:fldChar w:fldCharType="end"/>
      </w:r>
      <w:r>
        <w:fldChar w:fldCharType="end"/>
      </w:r>
    </w:p>
    <w:p>
      <w:pPr>
        <w:pStyle w:val="21"/>
        <w:tabs>
          <w:tab w:val="right" w:leader="dot" w:pos="9641"/>
          <w:tab w:val="clear" w:pos="9639"/>
        </w:tabs>
      </w:pPr>
      <w:r>
        <w:fldChar w:fldCharType="begin"/>
      </w:r>
      <w:r>
        <w:instrText xml:space="preserve"> HYPERLINK \l _Toc31874 </w:instrText>
      </w:r>
      <w:r>
        <w:fldChar w:fldCharType="separate"/>
      </w:r>
      <w:r>
        <w:rPr>
          <w:lang w:eastAsia="ja-JP"/>
        </w:rPr>
        <w:t>6.4 Co-existence simulation results</w:t>
      </w:r>
      <w:r>
        <w:tab/>
      </w:r>
      <w:r>
        <w:fldChar w:fldCharType="begin"/>
      </w:r>
      <w:r>
        <w:instrText xml:space="preserve"> PAGEREF _Toc31874 \h </w:instrText>
      </w:r>
      <w:r>
        <w:fldChar w:fldCharType="separate"/>
      </w:r>
      <w:r>
        <w:t>34</w:t>
      </w:r>
      <w:r>
        <w:fldChar w:fldCharType="end"/>
      </w:r>
      <w:r>
        <w:fldChar w:fldCharType="end"/>
      </w:r>
    </w:p>
    <w:p>
      <w:pPr>
        <w:pStyle w:val="21"/>
        <w:tabs>
          <w:tab w:val="right" w:leader="dot" w:pos="9641"/>
          <w:tab w:val="clear" w:pos="9639"/>
        </w:tabs>
      </w:pPr>
      <w:r>
        <w:fldChar w:fldCharType="begin"/>
      </w:r>
      <w:r>
        <w:instrText xml:space="preserve"> HYPERLINK \l _Toc20051 </w:instrText>
      </w:r>
      <w:r>
        <w:fldChar w:fldCharType="separate"/>
      </w:r>
      <w:r>
        <w:t>6.4.1 Synchronized Scenarios</w:t>
      </w:r>
      <w:r>
        <w:tab/>
      </w:r>
      <w:r>
        <w:fldChar w:fldCharType="begin"/>
      </w:r>
      <w:r>
        <w:instrText xml:space="preserve"> PAGEREF _Toc20051 \h </w:instrText>
      </w:r>
      <w:r>
        <w:fldChar w:fldCharType="separate"/>
      </w:r>
      <w:r>
        <w:t>34</w:t>
      </w:r>
      <w:r>
        <w:fldChar w:fldCharType="end"/>
      </w:r>
      <w:r>
        <w:fldChar w:fldCharType="end"/>
      </w:r>
    </w:p>
    <w:p>
      <w:pPr>
        <w:pStyle w:val="21"/>
        <w:tabs>
          <w:tab w:val="right" w:leader="dot" w:pos="9641"/>
          <w:tab w:val="clear" w:pos="9639"/>
        </w:tabs>
      </w:pPr>
      <w:r>
        <w:fldChar w:fldCharType="begin"/>
      </w:r>
      <w:r>
        <w:instrText xml:space="preserve"> HYPERLINK \l _Toc23815 </w:instrText>
      </w:r>
      <w:r>
        <w:fldChar w:fldCharType="separate"/>
      </w:r>
      <w:r>
        <w:rPr>
          <w:lang w:val="sv-SE"/>
        </w:rPr>
        <w:t>6.4.1.1 Scenario 1: 4GHz ATG DL interfering TN DL</w:t>
      </w:r>
      <w:r>
        <w:tab/>
      </w:r>
      <w:r>
        <w:fldChar w:fldCharType="begin"/>
      </w:r>
      <w:r>
        <w:instrText xml:space="preserve"> PAGEREF _Toc23815 \h </w:instrText>
      </w:r>
      <w:r>
        <w:fldChar w:fldCharType="separate"/>
      </w:r>
      <w:r>
        <w:t>34</w:t>
      </w:r>
      <w:r>
        <w:fldChar w:fldCharType="end"/>
      </w:r>
      <w:r>
        <w:fldChar w:fldCharType="end"/>
      </w:r>
    </w:p>
    <w:p>
      <w:pPr>
        <w:pStyle w:val="21"/>
        <w:tabs>
          <w:tab w:val="right" w:leader="dot" w:pos="9641"/>
          <w:tab w:val="clear" w:pos="9639"/>
        </w:tabs>
      </w:pPr>
      <w:r>
        <w:fldChar w:fldCharType="begin"/>
      </w:r>
      <w:r>
        <w:instrText xml:space="preserve"> HYPERLINK \l _Toc15522 </w:instrText>
      </w:r>
      <w:r>
        <w:fldChar w:fldCharType="separate"/>
      </w:r>
      <w:r>
        <w:rPr>
          <w:rFonts w:hint="eastAsia"/>
          <w:lang w:val="en-US" w:eastAsia="zh-CN"/>
        </w:rPr>
        <w:t xml:space="preserve">6.4.1.1.1 </w:t>
      </w:r>
      <w:r>
        <w:t>Non-Subarray model</w:t>
      </w:r>
      <w:r>
        <w:tab/>
      </w:r>
      <w:r>
        <w:fldChar w:fldCharType="begin"/>
      </w:r>
      <w:r>
        <w:instrText xml:space="preserve"> PAGEREF _Toc15522 \h </w:instrText>
      </w:r>
      <w:r>
        <w:fldChar w:fldCharType="separate"/>
      </w:r>
      <w:r>
        <w:t>35</w:t>
      </w:r>
      <w:r>
        <w:fldChar w:fldCharType="end"/>
      </w:r>
      <w:r>
        <w:fldChar w:fldCharType="end"/>
      </w:r>
    </w:p>
    <w:p>
      <w:pPr>
        <w:pStyle w:val="21"/>
        <w:tabs>
          <w:tab w:val="right" w:leader="dot" w:pos="9641"/>
          <w:tab w:val="clear" w:pos="9639"/>
        </w:tabs>
      </w:pPr>
      <w:r>
        <w:fldChar w:fldCharType="begin"/>
      </w:r>
      <w:r>
        <w:instrText xml:space="preserve"> HYPERLINK \l _Toc29211 </w:instrText>
      </w:r>
      <w:r>
        <w:fldChar w:fldCharType="separate"/>
      </w:r>
      <w:r>
        <w:rPr>
          <w:rFonts w:hint="eastAsia"/>
          <w:lang w:val="en-US" w:eastAsia="zh-CN"/>
        </w:rPr>
        <w:t xml:space="preserve">6.4.1.1.2 </w:t>
      </w:r>
      <w:r>
        <w:t>Subarray model</w:t>
      </w:r>
      <w:r>
        <w:tab/>
      </w:r>
      <w:r>
        <w:fldChar w:fldCharType="begin"/>
      </w:r>
      <w:r>
        <w:instrText xml:space="preserve"> PAGEREF _Toc29211 \h </w:instrText>
      </w:r>
      <w:r>
        <w:fldChar w:fldCharType="separate"/>
      </w:r>
      <w:r>
        <w:t>37</w:t>
      </w:r>
      <w:r>
        <w:fldChar w:fldCharType="end"/>
      </w:r>
      <w:r>
        <w:fldChar w:fldCharType="end"/>
      </w:r>
    </w:p>
    <w:p>
      <w:pPr>
        <w:pStyle w:val="21"/>
        <w:tabs>
          <w:tab w:val="right" w:leader="dot" w:pos="9641"/>
          <w:tab w:val="clear" w:pos="9639"/>
        </w:tabs>
      </w:pPr>
      <w:r>
        <w:fldChar w:fldCharType="begin"/>
      </w:r>
      <w:r>
        <w:instrText xml:space="preserve"> HYPERLINK \l _Toc11905 </w:instrText>
      </w:r>
      <w:r>
        <w:fldChar w:fldCharType="separate"/>
      </w:r>
      <w:r>
        <w:rPr>
          <w:lang w:val="sv-SE"/>
        </w:rPr>
        <w:t>6.4.1.2 Scenario 2: 4GHz ATG UL interfering TN UL</w:t>
      </w:r>
      <w:r>
        <w:rPr>
          <w:rFonts w:ascii="Arial" w:hAnsi="Arial" w:cs="Arial"/>
          <w:bCs/>
          <w:szCs w:val="24"/>
          <w:lang w:val="sv-SE"/>
        </w:rPr>
        <w:t xml:space="preserve"> </w:t>
      </w:r>
      <w:r>
        <w:tab/>
      </w:r>
      <w:r>
        <w:fldChar w:fldCharType="begin"/>
      </w:r>
      <w:r>
        <w:instrText xml:space="preserve"> PAGEREF _Toc11905 \h </w:instrText>
      </w:r>
      <w:r>
        <w:fldChar w:fldCharType="separate"/>
      </w:r>
      <w:r>
        <w:t>39</w:t>
      </w:r>
      <w:r>
        <w:fldChar w:fldCharType="end"/>
      </w:r>
      <w:r>
        <w:fldChar w:fldCharType="end"/>
      </w:r>
    </w:p>
    <w:p>
      <w:pPr>
        <w:pStyle w:val="21"/>
        <w:tabs>
          <w:tab w:val="right" w:leader="dot" w:pos="9641"/>
          <w:tab w:val="clear" w:pos="9639"/>
        </w:tabs>
      </w:pPr>
      <w:r>
        <w:fldChar w:fldCharType="begin"/>
      </w:r>
      <w:r>
        <w:instrText xml:space="preserve"> HYPERLINK \l _Toc5583 </w:instrText>
      </w:r>
      <w:r>
        <w:fldChar w:fldCharType="separate"/>
      </w:r>
      <w:r>
        <w:rPr>
          <w:rFonts w:hint="eastAsia"/>
          <w:lang w:val="en-US" w:eastAsia="zh-CN"/>
        </w:rPr>
        <w:t xml:space="preserve">6.4.1.2.1 </w:t>
      </w:r>
      <w:r>
        <w:t>Non-Subarray model</w:t>
      </w:r>
      <w:r>
        <w:tab/>
      </w:r>
      <w:r>
        <w:fldChar w:fldCharType="begin"/>
      </w:r>
      <w:r>
        <w:instrText xml:space="preserve"> PAGEREF _Toc5583 \h </w:instrText>
      </w:r>
      <w:r>
        <w:fldChar w:fldCharType="separate"/>
      </w:r>
      <w:r>
        <w:t>42</w:t>
      </w:r>
      <w:r>
        <w:fldChar w:fldCharType="end"/>
      </w:r>
      <w:r>
        <w:fldChar w:fldCharType="end"/>
      </w:r>
    </w:p>
    <w:p>
      <w:pPr>
        <w:pStyle w:val="21"/>
        <w:tabs>
          <w:tab w:val="right" w:leader="dot" w:pos="9641"/>
          <w:tab w:val="clear" w:pos="9639"/>
        </w:tabs>
      </w:pPr>
      <w:r>
        <w:fldChar w:fldCharType="begin"/>
      </w:r>
      <w:r>
        <w:instrText xml:space="preserve"> HYPERLINK \l _Toc12694 </w:instrText>
      </w:r>
      <w:r>
        <w:fldChar w:fldCharType="separate"/>
      </w:r>
      <w:r>
        <w:rPr>
          <w:rFonts w:hint="eastAsia"/>
          <w:lang w:val="en-US" w:eastAsia="zh-CN"/>
        </w:rPr>
        <w:t xml:space="preserve">6.4.1.2.2 </w:t>
      </w:r>
      <w:r>
        <w:t>Subarray model</w:t>
      </w:r>
      <w:r>
        <w:tab/>
      </w:r>
      <w:r>
        <w:fldChar w:fldCharType="begin"/>
      </w:r>
      <w:r>
        <w:instrText xml:space="preserve"> PAGEREF _Toc12694 \h </w:instrText>
      </w:r>
      <w:r>
        <w:fldChar w:fldCharType="separate"/>
      </w:r>
      <w:r>
        <w:t>45</w:t>
      </w:r>
      <w:r>
        <w:fldChar w:fldCharType="end"/>
      </w:r>
      <w:r>
        <w:fldChar w:fldCharType="end"/>
      </w:r>
    </w:p>
    <w:p>
      <w:pPr>
        <w:pStyle w:val="21"/>
        <w:tabs>
          <w:tab w:val="right" w:leader="dot" w:pos="9641"/>
          <w:tab w:val="clear" w:pos="9639"/>
        </w:tabs>
      </w:pPr>
      <w:r>
        <w:fldChar w:fldCharType="begin"/>
      </w:r>
      <w:r>
        <w:instrText xml:space="preserve"> HYPERLINK \l _Toc13217 </w:instrText>
      </w:r>
      <w:r>
        <w:fldChar w:fldCharType="separate"/>
      </w:r>
      <w:r>
        <w:rPr>
          <w:lang w:val="sv-SE"/>
        </w:rPr>
        <w:t>6.4.1.3 Scenario 3: 4GHz TN DL interfering ATG DL</w:t>
      </w:r>
      <w:r>
        <w:tab/>
      </w:r>
      <w:r>
        <w:fldChar w:fldCharType="begin"/>
      </w:r>
      <w:r>
        <w:instrText xml:space="preserve"> PAGEREF _Toc13217 \h </w:instrText>
      </w:r>
      <w:r>
        <w:fldChar w:fldCharType="separate"/>
      </w:r>
      <w:r>
        <w:t>49</w:t>
      </w:r>
      <w:r>
        <w:fldChar w:fldCharType="end"/>
      </w:r>
      <w:r>
        <w:fldChar w:fldCharType="end"/>
      </w:r>
    </w:p>
    <w:p>
      <w:pPr>
        <w:pStyle w:val="21"/>
        <w:tabs>
          <w:tab w:val="right" w:leader="dot" w:pos="9641"/>
          <w:tab w:val="clear" w:pos="9639"/>
        </w:tabs>
      </w:pPr>
      <w:r>
        <w:fldChar w:fldCharType="begin"/>
      </w:r>
      <w:r>
        <w:instrText xml:space="preserve"> HYPERLINK \l _Toc3599 </w:instrText>
      </w:r>
      <w:r>
        <w:fldChar w:fldCharType="separate"/>
      </w:r>
      <w:r>
        <w:rPr>
          <w:rFonts w:hint="eastAsia"/>
          <w:lang w:val="en-US" w:eastAsia="zh-CN"/>
        </w:rPr>
        <w:t xml:space="preserve">6.4.1.3.1 </w:t>
      </w:r>
      <w:r>
        <w:t>Non-Subarray model</w:t>
      </w:r>
      <w:r>
        <w:tab/>
      </w:r>
      <w:r>
        <w:fldChar w:fldCharType="begin"/>
      </w:r>
      <w:r>
        <w:instrText xml:space="preserve"> PAGEREF _Toc3599 \h </w:instrText>
      </w:r>
      <w:r>
        <w:fldChar w:fldCharType="separate"/>
      </w:r>
      <w:r>
        <w:t>50</w:t>
      </w:r>
      <w:r>
        <w:fldChar w:fldCharType="end"/>
      </w:r>
      <w:r>
        <w:fldChar w:fldCharType="end"/>
      </w:r>
    </w:p>
    <w:p>
      <w:pPr>
        <w:pStyle w:val="21"/>
        <w:tabs>
          <w:tab w:val="right" w:leader="dot" w:pos="9641"/>
          <w:tab w:val="clear" w:pos="9639"/>
        </w:tabs>
      </w:pPr>
      <w:r>
        <w:fldChar w:fldCharType="begin"/>
      </w:r>
      <w:r>
        <w:instrText xml:space="preserve"> HYPERLINK \l _Toc31497 </w:instrText>
      </w:r>
      <w:r>
        <w:fldChar w:fldCharType="separate"/>
      </w:r>
      <w:r>
        <w:rPr>
          <w:rFonts w:hint="eastAsia"/>
          <w:lang w:val="en-US" w:eastAsia="zh-CN"/>
        </w:rPr>
        <w:t xml:space="preserve">6.4.1.3.2 </w:t>
      </w:r>
      <w:r>
        <w:t>Subarray model</w:t>
      </w:r>
      <w:r>
        <w:tab/>
      </w:r>
      <w:r>
        <w:fldChar w:fldCharType="begin"/>
      </w:r>
      <w:r>
        <w:instrText xml:space="preserve"> PAGEREF _Toc31497 \h </w:instrText>
      </w:r>
      <w:r>
        <w:fldChar w:fldCharType="separate"/>
      </w:r>
      <w:r>
        <w:t>52</w:t>
      </w:r>
      <w:r>
        <w:fldChar w:fldCharType="end"/>
      </w:r>
      <w:r>
        <w:fldChar w:fldCharType="end"/>
      </w:r>
    </w:p>
    <w:p>
      <w:pPr>
        <w:pStyle w:val="21"/>
        <w:tabs>
          <w:tab w:val="right" w:leader="dot" w:pos="9641"/>
          <w:tab w:val="clear" w:pos="9639"/>
        </w:tabs>
      </w:pPr>
      <w:r>
        <w:fldChar w:fldCharType="begin"/>
      </w:r>
      <w:r>
        <w:instrText xml:space="preserve"> HYPERLINK \l _Toc9598 </w:instrText>
      </w:r>
      <w:r>
        <w:fldChar w:fldCharType="separate"/>
      </w:r>
      <w:r>
        <w:rPr>
          <w:lang w:val="sv-SE"/>
        </w:rPr>
        <w:t>6.4.1.4 Scenario 4: 4GHz TN UL interfering ATG UL</w:t>
      </w:r>
      <w:r>
        <w:tab/>
      </w:r>
      <w:r>
        <w:fldChar w:fldCharType="begin"/>
      </w:r>
      <w:r>
        <w:instrText xml:space="preserve"> PAGEREF _Toc9598 \h </w:instrText>
      </w:r>
      <w:r>
        <w:fldChar w:fldCharType="separate"/>
      </w:r>
      <w:r>
        <w:t>54</w:t>
      </w:r>
      <w:r>
        <w:fldChar w:fldCharType="end"/>
      </w:r>
      <w:r>
        <w:fldChar w:fldCharType="end"/>
      </w:r>
    </w:p>
    <w:p>
      <w:pPr>
        <w:pStyle w:val="21"/>
        <w:tabs>
          <w:tab w:val="right" w:leader="dot" w:pos="9641"/>
          <w:tab w:val="clear" w:pos="9639"/>
        </w:tabs>
      </w:pPr>
      <w:r>
        <w:fldChar w:fldCharType="begin"/>
      </w:r>
      <w:r>
        <w:instrText xml:space="preserve"> HYPERLINK \l _Toc24417 </w:instrText>
      </w:r>
      <w:r>
        <w:fldChar w:fldCharType="separate"/>
      </w:r>
      <w:r>
        <w:rPr>
          <w:rFonts w:hint="eastAsia"/>
          <w:lang w:val="en-US" w:eastAsia="zh-CN"/>
        </w:rPr>
        <w:t xml:space="preserve">6.4.1.4.1 </w:t>
      </w:r>
      <w:r>
        <w:t>Non-Subarray model</w:t>
      </w:r>
      <w:r>
        <w:tab/>
      </w:r>
      <w:r>
        <w:fldChar w:fldCharType="begin"/>
      </w:r>
      <w:r>
        <w:instrText xml:space="preserve"> PAGEREF _Toc24417 \h </w:instrText>
      </w:r>
      <w:r>
        <w:fldChar w:fldCharType="separate"/>
      </w:r>
      <w:r>
        <w:t>55</w:t>
      </w:r>
      <w:r>
        <w:fldChar w:fldCharType="end"/>
      </w:r>
      <w:r>
        <w:fldChar w:fldCharType="end"/>
      </w:r>
    </w:p>
    <w:p>
      <w:pPr>
        <w:pStyle w:val="21"/>
        <w:tabs>
          <w:tab w:val="right" w:leader="dot" w:pos="9641"/>
          <w:tab w:val="clear" w:pos="9639"/>
        </w:tabs>
      </w:pPr>
      <w:r>
        <w:fldChar w:fldCharType="begin"/>
      </w:r>
      <w:r>
        <w:instrText xml:space="preserve"> HYPERLINK \l _Toc7587 </w:instrText>
      </w:r>
      <w:r>
        <w:fldChar w:fldCharType="separate"/>
      </w:r>
      <w:r>
        <w:rPr>
          <w:rFonts w:hint="eastAsia"/>
          <w:lang w:val="en-US" w:eastAsia="zh-CN"/>
        </w:rPr>
        <w:t xml:space="preserve">6.4.1.4.2 </w:t>
      </w:r>
      <w:r>
        <w:t>Subarray model</w:t>
      </w:r>
      <w:r>
        <w:tab/>
      </w:r>
      <w:r>
        <w:fldChar w:fldCharType="begin"/>
      </w:r>
      <w:r>
        <w:instrText xml:space="preserve"> PAGEREF _Toc7587 \h </w:instrText>
      </w:r>
      <w:r>
        <w:fldChar w:fldCharType="separate"/>
      </w:r>
      <w:r>
        <w:t>56</w:t>
      </w:r>
      <w:r>
        <w:fldChar w:fldCharType="end"/>
      </w:r>
      <w:r>
        <w:fldChar w:fldCharType="end"/>
      </w:r>
    </w:p>
    <w:p>
      <w:pPr>
        <w:pStyle w:val="21"/>
        <w:tabs>
          <w:tab w:val="right" w:leader="dot" w:pos="9641"/>
          <w:tab w:val="clear" w:pos="9639"/>
        </w:tabs>
      </w:pPr>
      <w:r>
        <w:fldChar w:fldCharType="begin"/>
      </w:r>
      <w:r>
        <w:instrText xml:space="preserve"> HYPERLINK \l _Toc6161 </w:instrText>
      </w:r>
      <w:r>
        <w:fldChar w:fldCharType="separate"/>
      </w:r>
      <w:r>
        <w:rPr>
          <w:lang w:val="sv-SE"/>
        </w:rPr>
        <w:t>6.4.1.5 Scenario 9: 2GHz ATG DL interfering TN DL</w:t>
      </w:r>
      <w:r>
        <w:tab/>
      </w:r>
      <w:r>
        <w:fldChar w:fldCharType="begin"/>
      </w:r>
      <w:r>
        <w:instrText xml:space="preserve"> PAGEREF _Toc6161 \h </w:instrText>
      </w:r>
      <w:r>
        <w:fldChar w:fldCharType="separate"/>
      </w:r>
      <w:r>
        <w:t>57</w:t>
      </w:r>
      <w:r>
        <w:fldChar w:fldCharType="end"/>
      </w:r>
      <w:r>
        <w:fldChar w:fldCharType="end"/>
      </w:r>
    </w:p>
    <w:p>
      <w:pPr>
        <w:pStyle w:val="21"/>
        <w:tabs>
          <w:tab w:val="right" w:leader="dot" w:pos="9641"/>
          <w:tab w:val="clear" w:pos="9639"/>
        </w:tabs>
      </w:pPr>
      <w:r>
        <w:fldChar w:fldCharType="begin"/>
      </w:r>
      <w:r>
        <w:instrText xml:space="preserve"> HYPERLINK \l _Toc24155 </w:instrText>
      </w:r>
      <w:r>
        <w:fldChar w:fldCharType="separate"/>
      </w:r>
      <w:r>
        <w:rPr>
          <w:rFonts w:hint="eastAsia"/>
          <w:lang w:val="en-US" w:eastAsia="zh-CN"/>
        </w:rPr>
        <w:t xml:space="preserve">6.4.1.5.1 </w:t>
      </w:r>
      <w:r>
        <w:t>Non-Subarray model</w:t>
      </w:r>
      <w:r>
        <w:tab/>
      </w:r>
      <w:r>
        <w:fldChar w:fldCharType="begin"/>
      </w:r>
      <w:r>
        <w:instrText xml:space="preserve"> PAGEREF _Toc24155 \h </w:instrText>
      </w:r>
      <w:r>
        <w:fldChar w:fldCharType="separate"/>
      </w:r>
      <w:r>
        <w:t>58</w:t>
      </w:r>
      <w:r>
        <w:fldChar w:fldCharType="end"/>
      </w:r>
      <w:r>
        <w:fldChar w:fldCharType="end"/>
      </w:r>
    </w:p>
    <w:p>
      <w:pPr>
        <w:pStyle w:val="21"/>
        <w:tabs>
          <w:tab w:val="right" w:leader="dot" w:pos="9641"/>
          <w:tab w:val="clear" w:pos="9639"/>
        </w:tabs>
      </w:pPr>
      <w:r>
        <w:fldChar w:fldCharType="begin"/>
      </w:r>
      <w:r>
        <w:instrText xml:space="preserve"> HYPERLINK \l _Toc11052 </w:instrText>
      </w:r>
      <w:r>
        <w:fldChar w:fldCharType="separate"/>
      </w:r>
      <w:r>
        <w:rPr>
          <w:rFonts w:hint="eastAsia"/>
          <w:lang w:val="en-US" w:eastAsia="zh-CN"/>
        </w:rPr>
        <w:t xml:space="preserve">6.4.1.5.2 </w:t>
      </w:r>
      <w:r>
        <w:t>Subarray model</w:t>
      </w:r>
      <w:r>
        <w:tab/>
      </w:r>
      <w:r>
        <w:fldChar w:fldCharType="begin"/>
      </w:r>
      <w:r>
        <w:instrText xml:space="preserve"> PAGEREF _Toc11052 \h </w:instrText>
      </w:r>
      <w:r>
        <w:fldChar w:fldCharType="separate"/>
      </w:r>
      <w:r>
        <w:t>60</w:t>
      </w:r>
      <w:r>
        <w:fldChar w:fldCharType="end"/>
      </w:r>
      <w:r>
        <w:fldChar w:fldCharType="end"/>
      </w:r>
    </w:p>
    <w:p>
      <w:pPr>
        <w:pStyle w:val="21"/>
        <w:tabs>
          <w:tab w:val="right" w:leader="dot" w:pos="9641"/>
          <w:tab w:val="clear" w:pos="9639"/>
        </w:tabs>
      </w:pPr>
      <w:r>
        <w:fldChar w:fldCharType="begin"/>
      </w:r>
      <w:r>
        <w:instrText xml:space="preserve"> HYPERLINK \l _Toc25690 </w:instrText>
      </w:r>
      <w:r>
        <w:fldChar w:fldCharType="separate"/>
      </w:r>
      <w:r>
        <w:rPr>
          <w:lang w:val="sv-SE"/>
        </w:rPr>
        <w:t>6.4.1.6 Scenario 10: 2GHz ATG UL interfering TN UL</w:t>
      </w:r>
      <w:r>
        <w:tab/>
      </w:r>
      <w:r>
        <w:fldChar w:fldCharType="begin"/>
      </w:r>
      <w:r>
        <w:instrText xml:space="preserve"> PAGEREF _Toc25690 \h </w:instrText>
      </w:r>
      <w:r>
        <w:fldChar w:fldCharType="separate"/>
      </w:r>
      <w:r>
        <w:t>62</w:t>
      </w:r>
      <w:r>
        <w:fldChar w:fldCharType="end"/>
      </w:r>
      <w:r>
        <w:fldChar w:fldCharType="end"/>
      </w:r>
    </w:p>
    <w:p>
      <w:pPr>
        <w:pStyle w:val="21"/>
        <w:tabs>
          <w:tab w:val="right" w:leader="dot" w:pos="9641"/>
          <w:tab w:val="clear" w:pos="9639"/>
        </w:tabs>
      </w:pPr>
      <w:r>
        <w:fldChar w:fldCharType="begin"/>
      </w:r>
      <w:r>
        <w:instrText xml:space="preserve"> HYPERLINK \l _Toc7646 </w:instrText>
      </w:r>
      <w:r>
        <w:fldChar w:fldCharType="separate"/>
      </w:r>
      <w:r>
        <w:rPr>
          <w:rFonts w:hint="eastAsia"/>
          <w:lang w:val="en-US" w:eastAsia="zh-CN"/>
        </w:rPr>
        <w:t xml:space="preserve">6.4.1.6.1 </w:t>
      </w:r>
      <w:r>
        <w:t>Non-Subarray model</w:t>
      </w:r>
      <w:r>
        <w:tab/>
      </w:r>
      <w:r>
        <w:fldChar w:fldCharType="begin"/>
      </w:r>
      <w:r>
        <w:instrText xml:space="preserve"> PAGEREF _Toc7646 \h </w:instrText>
      </w:r>
      <w:r>
        <w:fldChar w:fldCharType="separate"/>
      </w:r>
      <w:r>
        <w:t>64</w:t>
      </w:r>
      <w:r>
        <w:fldChar w:fldCharType="end"/>
      </w:r>
      <w:r>
        <w:fldChar w:fldCharType="end"/>
      </w:r>
    </w:p>
    <w:p>
      <w:pPr>
        <w:pStyle w:val="21"/>
        <w:tabs>
          <w:tab w:val="right" w:leader="dot" w:pos="9641"/>
          <w:tab w:val="clear" w:pos="9639"/>
        </w:tabs>
      </w:pPr>
      <w:r>
        <w:fldChar w:fldCharType="begin"/>
      </w:r>
      <w:r>
        <w:instrText xml:space="preserve"> HYPERLINK \l _Toc13909 </w:instrText>
      </w:r>
      <w:r>
        <w:fldChar w:fldCharType="separate"/>
      </w:r>
      <w:r>
        <w:rPr>
          <w:rFonts w:hint="eastAsia"/>
          <w:lang w:val="en-US" w:eastAsia="zh-CN"/>
        </w:rPr>
        <w:t xml:space="preserve">6.4.1.6.2 </w:t>
      </w:r>
      <w:r>
        <w:t>Subarray model</w:t>
      </w:r>
      <w:r>
        <w:tab/>
      </w:r>
      <w:r>
        <w:fldChar w:fldCharType="begin"/>
      </w:r>
      <w:r>
        <w:instrText xml:space="preserve"> PAGEREF _Toc13909 \h </w:instrText>
      </w:r>
      <w:r>
        <w:fldChar w:fldCharType="separate"/>
      </w:r>
      <w:r>
        <w:t>67</w:t>
      </w:r>
      <w:r>
        <w:fldChar w:fldCharType="end"/>
      </w:r>
      <w:r>
        <w:fldChar w:fldCharType="end"/>
      </w:r>
    </w:p>
    <w:p>
      <w:pPr>
        <w:pStyle w:val="21"/>
        <w:tabs>
          <w:tab w:val="right" w:leader="dot" w:pos="9641"/>
          <w:tab w:val="clear" w:pos="9639"/>
        </w:tabs>
      </w:pPr>
      <w:r>
        <w:fldChar w:fldCharType="begin"/>
      </w:r>
      <w:r>
        <w:instrText xml:space="preserve"> HYPERLINK \l _Toc346 </w:instrText>
      </w:r>
      <w:r>
        <w:fldChar w:fldCharType="separate"/>
      </w:r>
      <w:r>
        <w:rPr>
          <w:lang w:val="sv-SE"/>
        </w:rPr>
        <w:t>6.4.1.7 Scenario 11: 2GHz TN DL interfering ATG DL</w:t>
      </w:r>
      <w:r>
        <w:tab/>
      </w:r>
      <w:r>
        <w:fldChar w:fldCharType="begin"/>
      </w:r>
      <w:r>
        <w:instrText xml:space="preserve"> PAGEREF _Toc346 \h </w:instrText>
      </w:r>
      <w:r>
        <w:fldChar w:fldCharType="separate"/>
      </w:r>
      <w:r>
        <w:t>71</w:t>
      </w:r>
      <w:r>
        <w:fldChar w:fldCharType="end"/>
      </w:r>
      <w:r>
        <w:fldChar w:fldCharType="end"/>
      </w:r>
    </w:p>
    <w:p>
      <w:pPr>
        <w:pStyle w:val="21"/>
        <w:tabs>
          <w:tab w:val="right" w:leader="dot" w:pos="9641"/>
          <w:tab w:val="clear" w:pos="9639"/>
        </w:tabs>
      </w:pPr>
      <w:r>
        <w:fldChar w:fldCharType="begin"/>
      </w:r>
      <w:r>
        <w:instrText xml:space="preserve"> HYPERLINK \l _Toc30910 </w:instrText>
      </w:r>
      <w:r>
        <w:fldChar w:fldCharType="separate"/>
      </w:r>
      <w:r>
        <w:rPr>
          <w:rFonts w:hint="eastAsia"/>
          <w:lang w:val="en-US" w:eastAsia="zh-CN"/>
        </w:rPr>
        <w:t xml:space="preserve">6.4.1.7.1 </w:t>
      </w:r>
      <w:r>
        <w:t>Non-Subarray model</w:t>
      </w:r>
      <w:r>
        <w:tab/>
      </w:r>
      <w:r>
        <w:fldChar w:fldCharType="begin"/>
      </w:r>
      <w:r>
        <w:instrText xml:space="preserve"> PAGEREF _Toc30910 \h </w:instrText>
      </w:r>
      <w:r>
        <w:fldChar w:fldCharType="separate"/>
      </w:r>
      <w:r>
        <w:t>72</w:t>
      </w:r>
      <w:r>
        <w:fldChar w:fldCharType="end"/>
      </w:r>
      <w:r>
        <w:fldChar w:fldCharType="end"/>
      </w:r>
    </w:p>
    <w:p>
      <w:pPr>
        <w:pStyle w:val="21"/>
        <w:tabs>
          <w:tab w:val="right" w:leader="dot" w:pos="9641"/>
          <w:tab w:val="clear" w:pos="9639"/>
        </w:tabs>
      </w:pPr>
      <w:r>
        <w:fldChar w:fldCharType="begin"/>
      </w:r>
      <w:r>
        <w:instrText xml:space="preserve"> HYPERLINK \l _Toc2090 </w:instrText>
      </w:r>
      <w:r>
        <w:fldChar w:fldCharType="separate"/>
      </w:r>
      <w:r>
        <w:rPr>
          <w:rFonts w:hint="eastAsia"/>
          <w:lang w:val="en-US" w:eastAsia="zh-CN"/>
        </w:rPr>
        <w:t xml:space="preserve">6.4.1.7.2 </w:t>
      </w:r>
      <w:r>
        <w:t>Subarray model</w:t>
      </w:r>
      <w:r>
        <w:tab/>
      </w:r>
      <w:r>
        <w:fldChar w:fldCharType="begin"/>
      </w:r>
      <w:r>
        <w:instrText xml:space="preserve"> PAGEREF _Toc2090 \h </w:instrText>
      </w:r>
      <w:r>
        <w:fldChar w:fldCharType="separate"/>
      </w:r>
      <w:r>
        <w:t>74</w:t>
      </w:r>
      <w:r>
        <w:fldChar w:fldCharType="end"/>
      </w:r>
      <w:r>
        <w:fldChar w:fldCharType="end"/>
      </w:r>
    </w:p>
    <w:p>
      <w:pPr>
        <w:pStyle w:val="21"/>
        <w:tabs>
          <w:tab w:val="right" w:leader="dot" w:pos="9641"/>
          <w:tab w:val="clear" w:pos="9639"/>
        </w:tabs>
      </w:pPr>
      <w:r>
        <w:fldChar w:fldCharType="begin"/>
      </w:r>
      <w:r>
        <w:instrText xml:space="preserve"> HYPERLINK \l _Toc15439 </w:instrText>
      </w:r>
      <w:r>
        <w:fldChar w:fldCharType="separate"/>
      </w:r>
      <w:r>
        <w:rPr>
          <w:lang w:val="sv-SE"/>
        </w:rPr>
        <w:t>6.4.1.8 Scenario 12: 2GHz TN UL interfering ATG UL</w:t>
      </w:r>
      <w:r>
        <w:tab/>
      </w:r>
      <w:r>
        <w:fldChar w:fldCharType="begin"/>
      </w:r>
      <w:r>
        <w:instrText xml:space="preserve"> PAGEREF _Toc15439 \h </w:instrText>
      </w:r>
      <w:r>
        <w:fldChar w:fldCharType="separate"/>
      </w:r>
      <w:r>
        <w:t>76</w:t>
      </w:r>
      <w:r>
        <w:fldChar w:fldCharType="end"/>
      </w:r>
      <w:r>
        <w:fldChar w:fldCharType="end"/>
      </w:r>
    </w:p>
    <w:p>
      <w:pPr>
        <w:pStyle w:val="21"/>
        <w:tabs>
          <w:tab w:val="right" w:leader="dot" w:pos="9641"/>
          <w:tab w:val="clear" w:pos="9639"/>
        </w:tabs>
      </w:pPr>
      <w:r>
        <w:fldChar w:fldCharType="begin"/>
      </w:r>
      <w:r>
        <w:instrText xml:space="preserve"> HYPERLINK \l _Toc28431 </w:instrText>
      </w:r>
      <w:r>
        <w:fldChar w:fldCharType="separate"/>
      </w:r>
      <w:r>
        <w:rPr>
          <w:rFonts w:hint="eastAsia"/>
          <w:lang w:val="en-US" w:eastAsia="zh-CN"/>
        </w:rPr>
        <w:t xml:space="preserve">6.4.1.8.1 </w:t>
      </w:r>
      <w:r>
        <w:t>Non-Subarray model</w:t>
      </w:r>
      <w:r>
        <w:tab/>
      </w:r>
      <w:r>
        <w:fldChar w:fldCharType="begin"/>
      </w:r>
      <w:r>
        <w:instrText xml:space="preserve"> PAGEREF _Toc28431 \h </w:instrText>
      </w:r>
      <w:r>
        <w:fldChar w:fldCharType="separate"/>
      </w:r>
      <w:r>
        <w:t>77</w:t>
      </w:r>
      <w:r>
        <w:fldChar w:fldCharType="end"/>
      </w:r>
      <w:r>
        <w:fldChar w:fldCharType="end"/>
      </w:r>
    </w:p>
    <w:p>
      <w:pPr>
        <w:pStyle w:val="21"/>
        <w:tabs>
          <w:tab w:val="right" w:leader="dot" w:pos="9641"/>
          <w:tab w:val="clear" w:pos="9639"/>
        </w:tabs>
      </w:pPr>
      <w:r>
        <w:fldChar w:fldCharType="begin"/>
      </w:r>
      <w:r>
        <w:instrText xml:space="preserve"> HYPERLINK \l _Toc17906 </w:instrText>
      </w:r>
      <w:r>
        <w:fldChar w:fldCharType="separate"/>
      </w:r>
      <w:r>
        <w:rPr>
          <w:rFonts w:hint="eastAsia"/>
          <w:lang w:val="en-US" w:eastAsia="zh-CN"/>
        </w:rPr>
        <w:t xml:space="preserve">6.4.1.8.2 </w:t>
      </w:r>
      <w:r>
        <w:t>Subarray model</w:t>
      </w:r>
      <w:r>
        <w:tab/>
      </w:r>
      <w:r>
        <w:fldChar w:fldCharType="begin"/>
      </w:r>
      <w:r>
        <w:instrText xml:space="preserve"> PAGEREF _Toc17906 \h </w:instrText>
      </w:r>
      <w:r>
        <w:fldChar w:fldCharType="separate"/>
      </w:r>
      <w:r>
        <w:t>78</w:t>
      </w:r>
      <w:r>
        <w:fldChar w:fldCharType="end"/>
      </w:r>
      <w:r>
        <w:fldChar w:fldCharType="end"/>
      </w:r>
    </w:p>
    <w:p>
      <w:pPr>
        <w:pStyle w:val="21"/>
        <w:tabs>
          <w:tab w:val="right" w:leader="dot" w:pos="9641"/>
          <w:tab w:val="clear" w:pos="9639"/>
        </w:tabs>
      </w:pPr>
      <w:r>
        <w:fldChar w:fldCharType="begin"/>
      </w:r>
      <w:r>
        <w:instrText xml:space="preserve"> HYPERLINK \l _Toc7635 </w:instrText>
      </w:r>
      <w:r>
        <w:fldChar w:fldCharType="separate"/>
      </w:r>
      <w:r>
        <w:t>6.4.2 Non-synchronized Scenarios</w:t>
      </w:r>
      <w:r>
        <w:tab/>
      </w:r>
      <w:r>
        <w:fldChar w:fldCharType="begin"/>
      </w:r>
      <w:r>
        <w:instrText xml:space="preserve"> PAGEREF _Toc7635 \h </w:instrText>
      </w:r>
      <w:r>
        <w:fldChar w:fldCharType="separate"/>
      </w:r>
      <w:r>
        <w:t>79</w:t>
      </w:r>
      <w:r>
        <w:fldChar w:fldCharType="end"/>
      </w:r>
      <w:r>
        <w:fldChar w:fldCharType="end"/>
      </w:r>
    </w:p>
    <w:p>
      <w:pPr>
        <w:pStyle w:val="21"/>
        <w:tabs>
          <w:tab w:val="right" w:leader="dot" w:pos="9641"/>
          <w:tab w:val="clear" w:pos="9639"/>
        </w:tabs>
      </w:pPr>
      <w:r>
        <w:fldChar w:fldCharType="begin"/>
      </w:r>
      <w:r>
        <w:instrText xml:space="preserve"> HYPERLINK \l _Toc17087 </w:instrText>
      </w:r>
      <w:r>
        <w:fldChar w:fldCharType="separate"/>
      </w:r>
      <w:r>
        <w:t>6.4.2.1 Scenario 5: 4GHz ATG DL interfering TN UL</w:t>
      </w:r>
      <w:r>
        <w:tab/>
      </w:r>
      <w:r>
        <w:fldChar w:fldCharType="begin"/>
      </w:r>
      <w:r>
        <w:instrText xml:space="preserve"> PAGEREF _Toc17087 \h </w:instrText>
      </w:r>
      <w:r>
        <w:fldChar w:fldCharType="separate"/>
      </w:r>
      <w:r>
        <w:t>79</w:t>
      </w:r>
      <w:r>
        <w:fldChar w:fldCharType="end"/>
      </w:r>
      <w:r>
        <w:fldChar w:fldCharType="end"/>
      </w:r>
    </w:p>
    <w:p>
      <w:pPr>
        <w:pStyle w:val="21"/>
        <w:tabs>
          <w:tab w:val="right" w:leader="dot" w:pos="9641"/>
          <w:tab w:val="clear" w:pos="9639"/>
        </w:tabs>
      </w:pPr>
      <w:r>
        <w:fldChar w:fldCharType="begin"/>
      </w:r>
      <w:r>
        <w:instrText xml:space="preserve"> HYPERLINK \l _Toc18365 </w:instrText>
      </w:r>
      <w:r>
        <w:fldChar w:fldCharType="separate"/>
      </w:r>
      <w:r>
        <w:t>6.4.2.1.1 Using FSPL model</w:t>
      </w:r>
      <w:r>
        <w:tab/>
      </w:r>
      <w:r>
        <w:fldChar w:fldCharType="begin"/>
      </w:r>
      <w:r>
        <w:instrText xml:space="preserve"> PAGEREF _Toc18365 \h </w:instrText>
      </w:r>
      <w:r>
        <w:fldChar w:fldCharType="separate"/>
      </w:r>
      <w:r>
        <w:t>79</w:t>
      </w:r>
      <w:r>
        <w:fldChar w:fldCharType="end"/>
      </w:r>
      <w:r>
        <w:fldChar w:fldCharType="end"/>
      </w:r>
    </w:p>
    <w:p>
      <w:pPr>
        <w:pStyle w:val="21"/>
        <w:tabs>
          <w:tab w:val="right" w:leader="dot" w:pos="9641"/>
          <w:tab w:val="clear" w:pos="9639"/>
        </w:tabs>
      </w:pPr>
      <w:r>
        <w:fldChar w:fldCharType="begin"/>
      </w:r>
      <w:r>
        <w:instrText xml:space="preserve"> HYPERLINK \l _Toc12592 </w:instrText>
      </w:r>
      <w:r>
        <w:fldChar w:fldCharType="separate"/>
      </w:r>
      <w:r>
        <w:t>6.4.2.1.2 Using RMa model in TR 38.901 with updating hUT as 30m</w:t>
      </w:r>
      <w:r>
        <w:tab/>
      </w:r>
      <w:r>
        <w:fldChar w:fldCharType="begin"/>
      </w:r>
      <w:r>
        <w:instrText xml:space="preserve"> PAGEREF _Toc12592 \h </w:instrText>
      </w:r>
      <w:r>
        <w:fldChar w:fldCharType="separate"/>
      </w:r>
      <w:r>
        <w:t>80</w:t>
      </w:r>
      <w:r>
        <w:fldChar w:fldCharType="end"/>
      </w:r>
      <w:r>
        <w:fldChar w:fldCharType="end"/>
      </w:r>
    </w:p>
    <w:p>
      <w:pPr>
        <w:pStyle w:val="21"/>
        <w:tabs>
          <w:tab w:val="right" w:leader="dot" w:pos="9641"/>
          <w:tab w:val="clear" w:pos="9639"/>
        </w:tabs>
      </w:pPr>
      <w:r>
        <w:fldChar w:fldCharType="begin"/>
      </w:r>
      <w:r>
        <w:instrText xml:space="preserve"> HYPERLINK \l _Toc20610 </w:instrText>
      </w:r>
      <w:r>
        <w:fldChar w:fldCharType="separate"/>
      </w:r>
      <w:r>
        <w:rPr>
          <w:lang w:val="sv-SE"/>
        </w:rPr>
        <w:t>6.4.2.2 Scenario 6: 4GHz TN UL interfering TN DL</w:t>
      </w:r>
      <w:r>
        <w:tab/>
      </w:r>
      <w:r>
        <w:fldChar w:fldCharType="begin"/>
      </w:r>
      <w:r>
        <w:instrText xml:space="preserve"> PAGEREF _Toc20610 \h </w:instrText>
      </w:r>
      <w:r>
        <w:fldChar w:fldCharType="separate"/>
      </w:r>
      <w:r>
        <w:t>81</w:t>
      </w:r>
      <w:r>
        <w:fldChar w:fldCharType="end"/>
      </w:r>
      <w:r>
        <w:fldChar w:fldCharType="end"/>
      </w:r>
    </w:p>
    <w:p>
      <w:pPr>
        <w:pStyle w:val="21"/>
        <w:tabs>
          <w:tab w:val="right" w:leader="dot" w:pos="9641"/>
          <w:tab w:val="clear" w:pos="9639"/>
        </w:tabs>
      </w:pPr>
      <w:r>
        <w:fldChar w:fldCharType="begin"/>
      </w:r>
      <w:r>
        <w:instrText xml:space="preserve"> HYPERLINK \l _Toc20669 </w:instrText>
      </w:r>
      <w:r>
        <w:fldChar w:fldCharType="separate"/>
      </w:r>
      <w:r>
        <w:rPr>
          <w:lang w:val="sv-SE"/>
        </w:rPr>
        <w:t>6.4.2.3 Scenario 7: 4GHz TN DL interfering ATG UL</w:t>
      </w:r>
      <w:r>
        <w:tab/>
      </w:r>
      <w:r>
        <w:fldChar w:fldCharType="begin"/>
      </w:r>
      <w:r>
        <w:instrText xml:space="preserve"> PAGEREF _Toc20669 \h </w:instrText>
      </w:r>
      <w:r>
        <w:fldChar w:fldCharType="separate"/>
      </w:r>
      <w:r>
        <w:t>81</w:t>
      </w:r>
      <w:r>
        <w:fldChar w:fldCharType="end"/>
      </w:r>
      <w:r>
        <w:fldChar w:fldCharType="end"/>
      </w:r>
    </w:p>
    <w:p>
      <w:pPr>
        <w:pStyle w:val="21"/>
        <w:tabs>
          <w:tab w:val="right" w:leader="dot" w:pos="9641"/>
          <w:tab w:val="clear" w:pos="9639"/>
        </w:tabs>
      </w:pPr>
      <w:r>
        <w:fldChar w:fldCharType="begin"/>
      </w:r>
      <w:r>
        <w:instrText xml:space="preserve"> HYPERLINK \l _Toc8682 </w:instrText>
      </w:r>
      <w:r>
        <w:fldChar w:fldCharType="separate"/>
      </w:r>
      <w:r>
        <w:t>6.4.2.3.1 Using FSPL model</w:t>
      </w:r>
      <w:r>
        <w:tab/>
      </w:r>
      <w:r>
        <w:fldChar w:fldCharType="begin"/>
      </w:r>
      <w:r>
        <w:instrText xml:space="preserve"> PAGEREF _Toc8682 \h </w:instrText>
      </w:r>
      <w:r>
        <w:fldChar w:fldCharType="separate"/>
      </w:r>
      <w:r>
        <w:t>81</w:t>
      </w:r>
      <w:r>
        <w:fldChar w:fldCharType="end"/>
      </w:r>
      <w:r>
        <w:fldChar w:fldCharType="end"/>
      </w:r>
    </w:p>
    <w:p>
      <w:pPr>
        <w:pStyle w:val="21"/>
        <w:tabs>
          <w:tab w:val="right" w:leader="dot" w:pos="9641"/>
          <w:tab w:val="clear" w:pos="9639"/>
        </w:tabs>
      </w:pPr>
      <w:r>
        <w:fldChar w:fldCharType="begin"/>
      </w:r>
      <w:r>
        <w:instrText xml:space="preserve"> HYPERLINK \l _Toc13174 </w:instrText>
      </w:r>
      <w:r>
        <w:fldChar w:fldCharType="separate"/>
      </w:r>
      <w:r>
        <w:t>6.4.2.3.2 Using RMa model in TR 38.901 with updating hUT as 30m</w:t>
      </w:r>
      <w:r>
        <w:tab/>
      </w:r>
      <w:r>
        <w:fldChar w:fldCharType="begin"/>
      </w:r>
      <w:r>
        <w:instrText xml:space="preserve"> PAGEREF _Toc13174 \h </w:instrText>
      </w:r>
      <w:r>
        <w:fldChar w:fldCharType="separate"/>
      </w:r>
      <w:r>
        <w:t>81</w:t>
      </w:r>
      <w:r>
        <w:fldChar w:fldCharType="end"/>
      </w:r>
      <w:r>
        <w:fldChar w:fldCharType="end"/>
      </w:r>
    </w:p>
    <w:p>
      <w:pPr>
        <w:pStyle w:val="21"/>
        <w:tabs>
          <w:tab w:val="right" w:leader="dot" w:pos="9641"/>
          <w:tab w:val="clear" w:pos="9639"/>
        </w:tabs>
      </w:pPr>
      <w:r>
        <w:fldChar w:fldCharType="begin"/>
      </w:r>
      <w:r>
        <w:instrText xml:space="preserve"> HYPERLINK \l _Toc16266 </w:instrText>
      </w:r>
      <w:r>
        <w:fldChar w:fldCharType="separate"/>
      </w:r>
      <w:r>
        <w:rPr>
          <w:lang w:val="sv-SE"/>
        </w:rPr>
        <w:t>6.4.2.4 Scenario 8: 4GHz TN UL interfering TN DL</w:t>
      </w:r>
      <w:r>
        <w:tab/>
      </w:r>
      <w:r>
        <w:fldChar w:fldCharType="begin"/>
      </w:r>
      <w:r>
        <w:instrText xml:space="preserve"> PAGEREF _Toc16266 \h </w:instrText>
      </w:r>
      <w:r>
        <w:fldChar w:fldCharType="separate"/>
      </w:r>
      <w:r>
        <w:t>82</w:t>
      </w:r>
      <w:r>
        <w:fldChar w:fldCharType="end"/>
      </w:r>
      <w:r>
        <w:fldChar w:fldCharType="end"/>
      </w:r>
    </w:p>
    <w:p>
      <w:pPr>
        <w:pStyle w:val="21"/>
        <w:tabs>
          <w:tab w:val="right" w:leader="dot" w:pos="9641"/>
          <w:tab w:val="clear" w:pos="9639"/>
        </w:tabs>
      </w:pPr>
      <w:r>
        <w:fldChar w:fldCharType="begin"/>
      </w:r>
      <w:r>
        <w:instrText xml:space="preserve"> HYPERLINK \l _Toc10586 </w:instrText>
      </w:r>
      <w:r>
        <w:fldChar w:fldCharType="separate"/>
      </w:r>
      <w:r>
        <w:rPr>
          <w:lang w:val="sv-SE"/>
        </w:rPr>
        <w:t>6.4.2.5 Scenario 13: 4GHz TN UL interfering TN DL</w:t>
      </w:r>
      <w:r>
        <w:tab/>
      </w:r>
      <w:r>
        <w:fldChar w:fldCharType="begin"/>
      </w:r>
      <w:r>
        <w:instrText xml:space="preserve"> PAGEREF _Toc10586 \h </w:instrText>
      </w:r>
      <w:r>
        <w:fldChar w:fldCharType="separate"/>
      </w:r>
      <w:r>
        <w:t>82</w:t>
      </w:r>
      <w:r>
        <w:fldChar w:fldCharType="end"/>
      </w:r>
      <w:r>
        <w:fldChar w:fldCharType="end"/>
      </w:r>
    </w:p>
    <w:p>
      <w:pPr>
        <w:pStyle w:val="21"/>
        <w:tabs>
          <w:tab w:val="right" w:leader="dot" w:pos="9641"/>
          <w:tab w:val="clear" w:pos="9639"/>
        </w:tabs>
      </w:pPr>
      <w:r>
        <w:fldChar w:fldCharType="begin"/>
      </w:r>
      <w:r>
        <w:instrText xml:space="preserve"> HYPERLINK \l _Toc4404 </w:instrText>
      </w:r>
      <w:r>
        <w:fldChar w:fldCharType="separate"/>
      </w:r>
      <w:r>
        <w:rPr>
          <w:lang w:val="sv-SE"/>
        </w:rPr>
        <w:t>6.4.2.6 Scenario 14: 2GHz TN DL interfering ATG UL</w:t>
      </w:r>
      <w:r>
        <w:tab/>
      </w:r>
      <w:r>
        <w:fldChar w:fldCharType="begin"/>
      </w:r>
      <w:r>
        <w:instrText xml:space="preserve"> PAGEREF _Toc4404 \h </w:instrText>
      </w:r>
      <w:r>
        <w:fldChar w:fldCharType="separate"/>
      </w:r>
      <w:r>
        <w:t>82</w:t>
      </w:r>
      <w:r>
        <w:fldChar w:fldCharType="end"/>
      </w:r>
      <w:r>
        <w:fldChar w:fldCharType="end"/>
      </w:r>
    </w:p>
    <w:p>
      <w:pPr>
        <w:pStyle w:val="21"/>
        <w:tabs>
          <w:tab w:val="right" w:leader="dot" w:pos="9641"/>
          <w:tab w:val="clear" w:pos="9639"/>
        </w:tabs>
      </w:pPr>
      <w:r>
        <w:fldChar w:fldCharType="begin"/>
      </w:r>
      <w:r>
        <w:instrText xml:space="preserve"> HYPERLINK \l _Toc25107 </w:instrText>
      </w:r>
      <w:r>
        <w:fldChar w:fldCharType="separate"/>
      </w:r>
      <w:r>
        <w:t>6.4.2.6.1 Using FSPL model</w:t>
      </w:r>
      <w:r>
        <w:tab/>
      </w:r>
      <w:r>
        <w:fldChar w:fldCharType="begin"/>
      </w:r>
      <w:r>
        <w:instrText xml:space="preserve"> PAGEREF _Toc25107 \h </w:instrText>
      </w:r>
      <w:r>
        <w:fldChar w:fldCharType="separate"/>
      </w:r>
      <w:r>
        <w:t>82</w:t>
      </w:r>
      <w:r>
        <w:fldChar w:fldCharType="end"/>
      </w:r>
      <w:r>
        <w:fldChar w:fldCharType="end"/>
      </w:r>
    </w:p>
    <w:p>
      <w:pPr>
        <w:pStyle w:val="21"/>
        <w:tabs>
          <w:tab w:val="right" w:leader="dot" w:pos="9641"/>
          <w:tab w:val="clear" w:pos="9639"/>
        </w:tabs>
      </w:pPr>
      <w:r>
        <w:fldChar w:fldCharType="begin"/>
      </w:r>
      <w:r>
        <w:instrText xml:space="preserve"> HYPERLINK \l _Toc23858 </w:instrText>
      </w:r>
      <w:r>
        <w:fldChar w:fldCharType="separate"/>
      </w:r>
      <w:r>
        <w:t>6.4.2.6.2 Using RMa model in TR 38.901 with updating hUT as 30m</w:t>
      </w:r>
      <w:r>
        <w:tab/>
      </w:r>
      <w:r>
        <w:fldChar w:fldCharType="begin"/>
      </w:r>
      <w:r>
        <w:instrText xml:space="preserve"> PAGEREF _Toc23858 \h </w:instrText>
      </w:r>
      <w:r>
        <w:fldChar w:fldCharType="separate"/>
      </w:r>
      <w:r>
        <w:t>83</w:t>
      </w:r>
      <w:r>
        <w:fldChar w:fldCharType="end"/>
      </w:r>
      <w:r>
        <w:fldChar w:fldCharType="end"/>
      </w:r>
    </w:p>
    <w:p>
      <w:pPr>
        <w:pStyle w:val="21"/>
        <w:tabs>
          <w:tab w:val="right" w:leader="dot" w:pos="9641"/>
          <w:tab w:val="clear" w:pos="9639"/>
        </w:tabs>
      </w:pPr>
      <w:r>
        <w:fldChar w:fldCharType="begin"/>
      </w:r>
      <w:r>
        <w:instrText xml:space="preserve"> HYPERLINK \l _Toc16786 </w:instrText>
      </w:r>
      <w:r>
        <w:fldChar w:fldCharType="separate"/>
      </w:r>
      <w:r>
        <w:rPr>
          <w:lang w:eastAsia="ja-JP"/>
        </w:rPr>
        <w:t>6.5 Summary of co-existence study</w:t>
      </w:r>
      <w:r>
        <w:tab/>
      </w:r>
      <w:r>
        <w:fldChar w:fldCharType="begin"/>
      </w:r>
      <w:r>
        <w:instrText xml:space="preserve"> PAGEREF _Toc16786 \h </w:instrText>
      </w:r>
      <w:r>
        <w:fldChar w:fldCharType="separate"/>
      </w:r>
      <w:r>
        <w:t>83</w:t>
      </w:r>
      <w:r>
        <w:fldChar w:fldCharType="end"/>
      </w:r>
      <w:r>
        <w:fldChar w:fldCharType="end"/>
      </w:r>
    </w:p>
    <w:p>
      <w:pPr>
        <w:pStyle w:val="21"/>
        <w:tabs>
          <w:tab w:val="right" w:leader="dot" w:pos="9641"/>
          <w:tab w:val="clear" w:pos="9639"/>
        </w:tabs>
      </w:pPr>
      <w:r>
        <w:fldChar w:fldCharType="begin"/>
      </w:r>
      <w:r>
        <w:instrText xml:space="preserve"> HYPERLINK \l _Toc27624 </w:instrText>
      </w:r>
      <w:r>
        <w:fldChar w:fldCharType="separate"/>
      </w:r>
      <w:r>
        <w:t>6.5.1 Synchronized Scenarios</w:t>
      </w:r>
      <w:r>
        <w:tab/>
      </w:r>
      <w:r>
        <w:fldChar w:fldCharType="begin"/>
      </w:r>
      <w:r>
        <w:instrText xml:space="preserve"> PAGEREF _Toc27624 \h </w:instrText>
      </w:r>
      <w:r>
        <w:fldChar w:fldCharType="separate"/>
      </w:r>
      <w:r>
        <w:t>83</w:t>
      </w:r>
      <w:r>
        <w:fldChar w:fldCharType="end"/>
      </w:r>
      <w:r>
        <w:fldChar w:fldCharType="end"/>
      </w:r>
    </w:p>
    <w:p>
      <w:pPr>
        <w:pStyle w:val="21"/>
        <w:tabs>
          <w:tab w:val="right" w:leader="dot" w:pos="9641"/>
          <w:tab w:val="clear" w:pos="9639"/>
        </w:tabs>
      </w:pPr>
      <w:r>
        <w:fldChar w:fldCharType="begin"/>
      </w:r>
      <w:r>
        <w:instrText xml:space="preserve"> HYPERLINK \l _Toc7287 </w:instrText>
      </w:r>
      <w:r>
        <w:fldChar w:fldCharType="separate"/>
      </w:r>
      <w:r>
        <w:rPr>
          <w:lang w:val="en-US" w:eastAsia="en-US"/>
        </w:rPr>
        <w:t>6.5.2 Non-Synchronized Scenarios</w:t>
      </w:r>
      <w:r>
        <w:tab/>
      </w:r>
      <w:r>
        <w:fldChar w:fldCharType="begin"/>
      </w:r>
      <w:r>
        <w:instrText xml:space="preserve"> PAGEREF _Toc7287 \h </w:instrText>
      </w:r>
      <w:r>
        <w:fldChar w:fldCharType="separate"/>
      </w:r>
      <w:r>
        <w:t>84</w:t>
      </w:r>
      <w:r>
        <w:fldChar w:fldCharType="end"/>
      </w:r>
      <w:r>
        <w:fldChar w:fldCharType="end"/>
      </w:r>
    </w:p>
    <w:p>
      <w:pPr>
        <w:pStyle w:val="21"/>
        <w:tabs>
          <w:tab w:val="right" w:pos="2000"/>
          <w:tab w:val="right" w:leader="dot" w:pos="9641"/>
          <w:tab w:val="clear" w:pos="9639"/>
        </w:tabs>
      </w:pPr>
      <w:r>
        <w:fldChar w:fldCharType="begin"/>
      </w:r>
      <w:r>
        <w:instrText xml:space="preserve"> HYPERLINK \l _Toc6725 </w:instrText>
      </w:r>
      <w:r>
        <w:fldChar w:fldCharType="separate"/>
      </w:r>
      <w:r>
        <w:rPr>
          <w:rFonts w:hint="eastAsia"/>
          <w:lang w:val="sv-SE" w:eastAsia="zh-CN"/>
        </w:rPr>
        <w:t>7</w:t>
      </w:r>
      <w:r>
        <w:rPr>
          <w:lang w:val="sv-SE"/>
        </w:rPr>
        <w:tab/>
      </w:r>
      <w:r>
        <w:rPr>
          <w:rFonts w:hint="eastAsia"/>
          <w:lang w:val="sv-SE" w:eastAsia="zh-CN"/>
        </w:rPr>
        <w:t>RF requirements</w:t>
      </w:r>
      <w:r>
        <w:tab/>
      </w:r>
      <w:r>
        <w:fldChar w:fldCharType="begin"/>
      </w:r>
      <w:r>
        <w:instrText xml:space="preserve"> PAGEREF _Toc6725 \h </w:instrText>
      </w:r>
      <w:r>
        <w:fldChar w:fldCharType="separate"/>
      </w:r>
      <w:r>
        <w:t>85</w:t>
      </w:r>
      <w:r>
        <w:fldChar w:fldCharType="end"/>
      </w:r>
      <w:r>
        <w:fldChar w:fldCharType="end"/>
      </w:r>
    </w:p>
    <w:p>
      <w:pPr>
        <w:pStyle w:val="21"/>
        <w:tabs>
          <w:tab w:val="right" w:pos="2000"/>
          <w:tab w:val="right" w:leader="dot" w:pos="9641"/>
          <w:tab w:val="clear" w:pos="9639"/>
        </w:tabs>
      </w:pPr>
      <w:r>
        <w:fldChar w:fldCharType="begin"/>
      </w:r>
      <w:r>
        <w:instrText xml:space="preserve"> HYPERLINK \l _Toc22492 </w:instrText>
      </w:r>
      <w:r>
        <w:fldChar w:fldCharType="separate"/>
      </w:r>
      <w:r>
        <w:rPr>
          <w:rFonts w:hint="eastAsia"/>
          <w:lang w:eastAsia="zh-CN"/>
        </w:rPr>
        <w:t>7</w:t>
      </w:r>
      <w:r>
        <w:t>.1</w:t>
      </w:r>
      <w:r>
        <w:tab/>
      </w:r>
      <w:r>
        <w:rPr>
          <w:rFonts w:hint="eastAsia"/>
          <w:lang w:eastAsia="zh-CN"/>
        </w:rPr>
        <w:t xml:space="preserve">ATG </w:t>
      </w:r>
      <w:r>
        <w:rPr>
          <w:lang w:eastAsia="zh-CN"/>
        </w:rPr>
        <w:t>UE</w:t>
      </w:r>
      <w:r>
        <w:t xml:space="preserve"> specific</w:t>
      </w:r>
      <w:r>
        <w:tab/>
      </w:r>
      <w:r>
        <w:fldChar w:fldCharType="begin"/>
      </w:r>
      <w:r>
        <w:instrText xml:space="preserve"> PAGEREF _Toc22492 \h </w:instrText>
      </w:r>
      <w:r>
        <w:fldChar w:fldCharType="separate"/>
      </w:r>
      <w:r>
        <w:t>85</w:t>
      </w:r>
      <w:r>
        <w:fldChar w:fldCharType="end"/>
      </w:r>
      <w:r>
        <w:fldChar w:fldCharType="end"/>
      </w:r>
    </w:p>
    <w:p>
      <w:pPr>
        <w:pStyle w:val="21"/>
        <w:tabs>
          <w:tab w:val="right" w:leader="dot" w:pos="9641"/>
          <w:tab w:val="clear" w:pos="9639"/>
        </w:tabs>
      </w:pPr>
      <w:r>
        <w:fldChar w:fldCharType="begin"/>
      </w:r>
      <w:r>
        <w:instrText xml:space="preserve"> HYPERLINK \l _Toc2501 </w:instrText>
      </w:r>
      <w:r>
        <w:fldChar w:fldCharType="separate"/>
      </w:r>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r>
        <w:tab/>
      </w:r>
      <w:r>
        <w:fldChar w:fldCharType="begin"/>
      </w:r>
      <w:r>
        <w:instrText xml:space="preserve"> PAGEREF _Toc2501 \h </w:instrText>
      </w:r>
      <w:r>
        <w:fldChar w:fldCharType="separate"/>
      </w:r>
      <w:r>
        <w:t>85</w:t>
      </w:r>
      <w:r>
        <w:fldChar w:fldCharType="end"/>
      </w:r>
      <w:r>
        <w:fldChar w:fldCharType="end"/>
      </w:r>
    </w:p>
    <w:p>
      <w:pPr>
        <w:pStyle w:val="21"/>
        <w:tabs>
          <w:tab w:val="right" w:leader="dot" w:pos="9641"/>
          <w:tab w:val="clear" w:pos="9639"/>
        </w:tabs>
      </w:pPr>
      <w:r>
        <w:fldChar w:fldCharType="begin"/>
      </w:r>
      <w:r>
        <w:instrText xml:space="preserve"> HYPERLINK \l _Toc17644 </w:instrText>
      </w:r>
      <w:r>
        <w:fldChar w:fldCharType="separate"/>
      </w:r>
      <w:r>
        <w:rPr>
          <w:rFonts w:hint="eastAsia"/>
        </w:rPr>
        <w:t>7.</w:t>
      </w:r>
      <w:r>
        <w:rPr>
          <w:rFonts w:hint="eastAsia"/>
          <w:lang w:eastAsia="zh-CN"/>
        </w:rPr>
        <w:t>1</w:t>
      </w:r>
      <w:r>
        <w:rPr>
          <w:rFonts w:hint="eastAsia"/>
        </w:rPr>
        <w:t xml:space="preserve">.2 </w:t>
      </w:r>
      <w:r>
        <w:rPr>
          <w:rFonts w:hint="eastAsia"/>
          <w:lang w:eastAsia="zh-CN"/>
        </w:rPr>
        <w:t>Tx requirements</w:t>
      </w:r>
      <w:r>
        <w:tab/>
      </w:r>
      <w:r>
        <w:fldChar w:fldCharType="begin"/>
      </w:r>
      <w:r>
        <w:instrText xml:space="preserve"> PAGEREF _Toc17644 \h </w:instrText>
      </w:r>
      <w:r>
        <w:fldChar w:fldCharType="separate"/>
      </w:r>
      <w:r>
        <w:t>85</w:t>
      </w:r>
      <w:r>
        <w:fldChar w:fldCharType="end"/>
      </w:r>
      <w:r>
        <w:fldChar w:fldCharType="end"/>
      </w:r>
    </w:p>
    <w:p>
      <w:pPr>
        <w:pStyle w:val="21"/>
        <w:tabs>
          <w:tab w:val="right" w:leader="dot" w:pos="9641"/>
          <w:tab w:val="clear" w:pos="9639"/>
        </w:tabs>
      </w:pPr>
      <w:r>
        <w:fldChar w:fldCharType="begin"/>
      </w:r>
      <w:r>
        <w:instrText xml:space="preserve"> HYPERLINK \l _Toc11778 </w:instrText>
      </w:r>
      <w:r>
        <w:fldChar w:fldCharType="separate"/>
      </w:r>
      <w:r>
        <w:rPr>
          <w:lang w:eastAsia="zh-CN"/>
        </w:rPr>
        <w:t>7.1.2.1 Frequency error</w:t>
      </w:r>
      <w:r>
        <w:tab/>
      </w:r>
      <w:r>
        <w:fldChar w:fldCharType="begin"/>
      </w:r>
      <w:r>
        <w:instrText xml:space="preserve"> PAGEREF _Toc11778 \h </w:instrText>
      </w:r>
      <w:r>
        <w:fldChar w:fldCharType="separate"/>
      </w:r>
      <w:r>
        <w:t>85</w:t>
      </w:r>
      <w:r>
        <w:fldChar w:fldCharType="end"/>
      </w:r>
      <w:r>
        <w:fldChar w:fldCharType="end"/>
      </w:r>
    </w:p>
    <w:p>
      <w:pPr>
        <w:pStyle w:val="21"/>
        <w:tabs>
          <w:tab w:val="right" w:leader="dot" w:pos="9641"/>
          <w:tab w:val="clear" w:pos="9639"/>
        </w:tabs>
      </w:pPr>
      <w:r>
        <w:fldChar w:fldCharType="begin"/>
      </w:r>
      <w:r>
        <w:instrText xml:space="preserve"> HYPERLINK \l _Toc15246 </w:instrText>
      </w:r>
      <w:r>
        <w:fldChar w:fldCharType="separate"/>
      </w:r>
      <w:r>
        <w:rPr>
          <w:lang w:eastAsia="zh-CN"/>
        </w:rPr>
        <w:t>7.1.2.2 MOP requirements</w:t>
      </w:r>
      <w:r>
        <w:tab/>
      </w:r>
      <w:r>
        <w:fldChar w:fldCharType="begin"/>
      </w:r>
      <w:r>
        <w:instrText xml:space="preserve"> PAGEREF _Toc15246 \h </w:instrText>
      </w:r>
      <w:r>
        <w:fldChar w:fldCharType="separate"/>
      </w:r>
      <w:r>
        <w:t>86</w:t>
      </w:r>
      <w:r>
        <w:fldChar w:fldCharType="end"/>
      </w:r>
      <w:r>
        <w:fldChar w:fldCharType="end"/>
      </w:r>
    </w:p>
    <w:p>
      <w:pPr>
        <w:pStyle w:val="21"/>
        <w:tabs>
          <w:tab w:val="right" w:leader="dot" w:pos="9641"/>
          <w:tab w:val="clear" w:pos="9639"/>
        </w:tabs>
      </w:pPr>
      <w:r>
        <w:fldChar w:fldCharType="begin"/>
      </w:r>
      <w:r>
        <w:instrText xml:space="preserve"> HYPERLINK \l _Toc12081 </w:instrText>
      </w:r>
      <w:r>
        <w:fldChar w:fldCharType="separate"/>
      </w:r>
      <w:r>
        <w:rPr>
          <w:lang w:eastAsia="zh-CN"/>
        </w:rPr>
        <w:t>7.1.2.3 MPR/AMPR requirements</w:t>
      </w:r>
      <w:r>
        <w:tab/>
      </w:r>
      <w:r>
        <w:fldChar w:fldCharType="begin"/>
      </w:r>
      <w:r>
        <w:instrText xml:space="preserve"> PAGEREF _Toc12081 \h </w:instrText>
      </w:r>
      <w:r>
        <w:fldChar w:fldCharType="separate"/>
      </w:r>
      <w:r>
        <w:t>86</w:t>
      </w:r>
      <w:r>
        <w:fldChar w:fldCharType="end"/>
      </w:r>
      <w:r>
        <w:fldChar w:fldCharType="end"/>
      </w:r>
    </w:p>
    <w:p>
      <w:pPr>
        <w:pStyle w:val="21"/>
        <w:tabs>
          <w:tab w:val="right" w:leader="dot" w:pos="9641"/>
          <w:tab w:val="clear" w:pos="9639"/>
        </w:tabs>
      </w:pPr>
      <w:r>
        <w:fldChar w:fldCharType="begin"/>
      </w:r>
      <w:r>
        <w:instrText xml:space="preserve"> HYPERLINK \l _Toc23396 </w:instrText>
      </w:r>
      <w:r>
        <w:fldChar w:fldCharType="separate"/>
      </w:r>
      <w:r>
        <w:rPr>
          <w:lang w:eastAsia="zh-CN"/>
        </w:rPr>
        <w:t>7.1.2.4 Configured transmitted power</w:t>
      </w:r>
      <w:r>
        <w:tab/>
      </w:r>
      <w:r>
        <w:fldChar w:fldCharType="begin"/>
      </w:r>
      <w:r>
        <w:instrText xml:space="preserve"> PAGEREF _Toc23396 \h </w:instrText>
      </w:r>
      <w:r>
        <w:fldChar w:fldCharType="separate"/>
      </w:r>
      <w:r>
        <w:t>86</w:t>
      </w:r>
      <w:r>
        <w:fldChar w:fldCharType="end"/>
      </w:r>
      <w:r>
        <w:fldChar w:fldCharType="end"/>
      </w:r>
    </w:p>
    <w:p>
      <w:pPr>
        <w:pStyle w:val="21"/>
        <w:tabs>
          <w:tab w:val="right" w:leader="dot" w:pos="9641"/>
          <w:tab w:val="clear" w:pos="9639"/>
        </w:tabs>
      </w:pPr>
      <w:r>
        <w:fldChar w:fldCharType="begin"/>
      </w:r>
      <w:r>
        <w:instrText xml:space="preserve"> HYPERLINK \l _Toc28069 </w:instrText>
      </w:r>
      <w:r>
        <w:fldChar w:fldCharType="separate"/>
      </w:r>
      <w:r>
        <w:rPr>
          <w:lang w:eastAsia="zh-CN"/>
        </w:rPr>
        <w:t>7.1.2.5 Minimum output power</w:t>
      </w:r>
      <w:r>
        <w:tab/>
      </w:r>
      <w:r>
        <w:fldChar w:fldCharType="begin"/>
      </w:r>
      <w:r>
        <w:instrText xml:space="preserve"> PAGEREF _Toc28069 \h </w:instrText>
      </w:r>
      <w:r>
        <w:fldChar w:fldCharType="separate"/>
      </w:r>
      <w:r>
        <w:t>86</w:t>
      </w:r>
      <w:r>
        <w:fldChar w:fldCharType="end"/>
      </w:r>
      <w:r>
        <w:fldChar w:fldCharType="end"/>
      </w:r>
    </w:p>
    <w:p>
      <w:pPr>
        <w:pStyle w:val="21"/>
        <w:tabs>
          <w:tab w:val="right" w:leader="dot" w:pos="9641"/>
          <w:tab w:val="clear" w:pos="9639"/>
        </w:tabs>
      </w:pPr>
      <w:r>
        <w:fldChar w:fldCharType="begin"/>
      </w:r>
      <w:r>
        <w:instrText xml:space="preserve"> HYPERLINK \l _Toc11721 </w:instrText>
      </w:r>
      <w:r>
        <w:fldChar w:fldCharType="separate"/>
      </w:r>
      <w:r>
        <w:rPr>
          <w:lang w:eastAsia="zh-CN"/>
        </w:rPr>
        <w:t>7.1.2.6 Transmit OFF power</w:t>
      </w:r>
      <w:r>
        <w:tab/>
      </w:r>
      <w:r>
        <w:fldChar w:fldCharType="begin"/>
      </w:r>
      <w:r>
        <w:instrText xml:space="preserve"> PAGEREF _Toc11721 \h </w:instrText>
      </w:r>
      <w:r>
        <w:fldChar w:fldCharType="separate"/>
      </w:r>
      <w:r>
        <w:t>87</w:t>
      </w:r>
      <w:r>
        <w:fldChar w:fldCharType="end"/>
      </w:r>
      <w:r>
        <w:fldChar w:fldCharType="end"/>
      </w:r>
    </w:p>
    <w:p>
      <w:pPr>
        <w:pStyle w:val="21"/>
        <w:tabs>
          <w:tab w:val="right" w:leader="dot" w:pos="9641"/>
          <w:tab w:val="clear" w:pos="9639"/>
        </w:tabs>
      </w:pPr>
      <w:r>
        <w:fldChar w:fldCharType="begin"/>
      </w:r>
      <w:r>
        <w:instrText xml:space="preserve"> HYPERLINK \l _Toc5719 </w:instrText>
      </w:r>
      <w:r>
        <w:fldChar w:fldCharType="separate"/>
      </w:r>
      <w:r>
        <w:rPr>
          <w:lang w:eastAsia="zh-CN"/>
        </w:rPr>
        <w:t>7.1.2.7 Transmit ON/OFF time mask</w:t>
      </w:r>
      <w:r>
        <w:tab/>
      </w:r>
      <w:r>
        <w:fldChar w:fldCharType="begin"/>
      </w:r>
      <w:r>
        <w:instrText xml:space="preserve"> PAGEREF _Toc5719 \h </w:instrText>
      </w:r>
      <w:r>
        <w:fldChar w:fldCharType="separate"/>
      </w:r>
      <w:r>
        <w:t>87</w:t>
      </w:r>
      <w:r>
        <w:fldChar w:fldCharType="end"/>
      </w:r>
      <w:r>
        <w:fldChar w:fldCharType="end"/>
      </w:r>
    </w:p>
    <w:p>
      <w:pPr>
        <w:pStyle w:val="21"/>
        <w:tabs>
          <w:tab w:val="right" w:leader="dot" w:pos="9641"/>
          <w:tab w:val="clear" w:pos="9639"/>
        </w:tabs>
      </w:pPr>
      <w:r>
        <w:fldChar w:fldCharType="begin"/>
      </w:r>
      <w:r>
        <w:instrText xml:space="preserve"> HYPERLINK \l _Toc30897 </w:instrText>
      </w:r>
      <w:r>
        <w:fldChar w:fldCharType="separate"/>
      </w:r>
      <w:r>
        <w:rPr>
          <w:lang w:eastAsia="zh-CN"/>
        </w:rPr>
        <w:t>7.1.2.8 Power control</w:t>
      </w:r>
      <w:r>
        <w:tab/>
      </w:r>
      <w:r>
        <w:fldChar w:fldCharType="begin"/>
      </w:r>
      <w:r>
        <w:instrText xml:space="preserve"> PAGEREF _Toc30897 \h </w:instrText>
      </w:r>
      <w:r>
        <w:fldChar w:fldCharType="separate"/>
      </w:r>
      <w:r>
        <w:t>87</w:t>
      </w:r>
      <w:r>
        <w:fldChar w:fldCharType="end"/>
      </w:r>
      <w:r>
        <w:fldChar w:fldCharType="end"/>
      </w:r>
    </w:p>
    <w:p>
      <w:pPr>
        <w:pStyle w:val="21"/>
        <w:tabs>
          <w:tab w:val="right" w:leader="dot" w:pos="9641"/>
          <w:tab w:val="clear" w:pos="9639"/>
        </w:tabs>
      </w:pPr>
      <w:r>
        <w:fldChar w:fldCharType="begin"/>
      </w:r>
      <w:r>
        <w:instrText xml:space="preserve"> HYPERLINK \l _Toc30915 </w:instrText>
      </w:r>
      <w:r>
        <w:fldChar w:fldCharType="separate"/>
      </w:r>
      <w:r>
        <w:rPr>
          <w:lang w:eastAsia="zh-CN"/>
        </w:rPr>
        <w:t>7.1.2.9 Transmit signal quality</w:t>
      </w:r>
      <w:r>
        <w:tab/>
      </w:r>
      <w:r>
        <w:fldChar w:fldCharType="begin"/>
      </w:r>
      <w:r>
        <w:instrText xml:space="preserve"> PAGEREF _Toc30915 \h </w:instrText>
      </w:r>
      <w:r>
        <w:fldChar w:fldCharType="separate"/>
      </w:r>
      <w:r>
        <w:t>87</w:t>
      </w:r>
      <w:r>
        <w:fldChar w:fldCharType="end"/>
      </w:r>
      <w:r>
        <w:fldChar w:fldCharType="end"/>
      </w:r>
    </w:p>
    <w:p>
      <w:pPr>
        <w:pStyle w:val="21"/>
        <w:tabs>
          <w:tab w:val="right" w:leader="dot" w:pos="9641"/>
          <w:tab w:val="clear" w:pos="9639"/>
        </w:tabs>
      </w:pPr>
      <w:r>
        <w:fldChar w:fldCharType="begin"/>
      </w:r>
      <w:r>
        <w:instrText xml:space="preserve"> HYPERLINK \l _Toc20890 </w:instrText>
      </w:r>
      <w:r>
        <w:fldChar w:fldCharType="separate"/>
      </w:r>
      <w:r>
        <w:rPr>
          <w:lang w:eastAsia="zh-CN"/>
        </w:rPr>
        <w:t>7.1.2.10 Occupied bandwidth</w:t>
      </w:r>
      <w:r>
        <w:tab/>
      </w:r>
      <w:r>
        <w:fldChar w:fldCharType="begin"/>
      </w:r>
      <w:r>
        <w:instrText xml:space="preserve"> PAGEREF _Toc20890 \h </w:instrText>
      </w:r>
      <w:r>
        <w:fldChar w:fldCharType="separate"/>
      </w:r>
      <w:r>
        <w:t>88</w:t>
      </w:r>
      <w:r>
        <w:fldChar w:fldCharType="end"/>
      </w:r>
      <w:r>
        <w:fldChar w:fldCharType="end"/>
      </w:r>
    </w:p>
    <w:p>
      <w:pPr>
        <w:pStyle w:val="21"/>
        <w:tabs>
          <w:tab w:val="right" w:leader="dot" w:pos="9641"/>
          <w:tab w:val="clear" w:pos="9639"/>
        </w:tabs>
      </w:pPr>
      <w:r>
        <w:fldChar w:fldCharType="begin"/>
      </w:r>
      <w:r>
        <w:instrText xml:space="preserve"> HYPERLINK \l _Toc4253 </w:instrText>
      </w:r>
      <w:r>
        <w:fldChar w:fldCharType="separate"/>
      </w:r>
      <w:r>
        <w:rPr>
          <w:lang w:eastAsia="zh-CN"/>
        </w:rPr>
        <w:t>7.1.2.11 SEM requirements</w:t>
      </w:r>
      <w:r>
        <w:tab/>
      </w:r>
      <w:r>
        <w:fldChar w:fldCharType="begin"/>
      </w:r>
      <w:r>
        <w:instrText xml:space="preserve"> PAGEREF _Toc4253 \h </w:instrText>
      </w:r>
      <w:r>
        <w:fldChar w:fldCharType="separate"/>
      </w:r>
      <w:r>
        <w:t>88</w:t>
      </w:r>
      <w:r>
        <w:fldChar w:fldCharType="end"/>
      </w:r>
      <w:r>
        <w:fldChar w:fldCharType="end"/>
      </w:r>
    </w:p>
    <w:p>
      <w:pPr>
        <w:pStyle w:val="21"/>
        <w:tabs>
          <w:tab w:val="right" w:leader="dot" w:pos="9641"/>
          <w:tab w:val="clear" w:pos="9639"/>
        </w:tabs>
      </w:pPr>
      <w:r>
        <w:fldChar w:fldCharType="begin"/>
      </w:r>
      <w:r>
        <w:instrText xml:space="preserve"> HYPERLINK \l _Toc14573 </w:instrText>
      </w:r>
      <w:r>
        <w:fldChar w:fldCharType="separate"/>
      </w:r>
      <w:r>
        <w:rPr>
          <w:lang w:eastAsia="zh-CN"/>
        </w:rPr>
        <w:t>7.1.2.12 ACLR requirements</w:t>
      </w:r>
      <w:r>
        <w:tab/>
      </w:r>
      <w:r>
        <w:fldChar w:fldCharType="begin"/>
      </w:r>
      <w:r>
        <w:instrText xml:space="preserve"> PAGEREF _Toc14573 \h </w:instrText>
      </w:r>
      <w:r>
        <w:fldChar w:fldCharType="separate"/>
      </w:r>
      <w:r>
        <w:t>89</w:t>
      </w:r>
      <w:r>
        <w:fldChar w:fldCharType="end"/>
      </w:r>
      <w:r>
        <w:fldChar w:fldCharType="end"/>
      </w:r>
    </w:p>
    <w:p>
      <w:pPr>
        <w:pStyle w:val="21"/>
        <w:tabs>
          <w:tab w:val="right" w:leader="dot" w:pos="9641"/>
          <w:tab w:val="clear" w:pos="9639"/>
        </w:tabs>
      </w:pPr>
      <w:r>
        <w:fldChar w:fldCharType="begin"/>
      </w:r>
      <w:r>
        <w:instrText xml:space="preserve"> HYPERLINK \l _Toc2431 </w:instrText>
      </w:r>
      <w:r>
        <w:fldChar w:fldCharType="separate"/>
      </w:r>
      <w:r>
        <w:rPr>
          <w:lang w:eastAsia="zh-CN"/>
        </w:rPr>
        <w:t>7.1.2.13 Spurious emission</w:t>
      </w:r>
      <w:r>
        <w:tab/>
      </w:r>
      <w:r>
        <w:fldChar w:fldCharType="begin"/>
      </w:r>
      <w:r>
        <w:instrText xml:space="preserve"> PAGEREF _Toc2431 \h </w:instrText>
      </w:r>
      <w:r>
        <w:fldChar w:fldCharType="separate"/>
      </w:r>
      <w:r>
        <w:t>89</w:t>
      </w:r>
      <w:r>
        <w:fldChar w:fldCharType="end"/>
      </w:r>
      <w:r>
        <w:fldChar w:fldCharType="end"/>
      </w:r>
    </w:p>
    <w:p>
      <w:pPr>
        <w:pStyle w:val="21"/>
        <w:tabs>
          <w:tab w:val="right" w:leader="dot" w:pos="9641"/>
          <w:tab w:val="clear" w:pos="9639"/>
        </w:tabs>
      </w:pPr>
      <w:r>
        <w:fldChar w:fldCharType="begin"/>
      </w:r>
      <w:r>
        <w:instrText xml:space="preserve"> HYPERLINK \l _Toc32286 </w:instrText>
      </w:r>
      <w:r>
        <w:fldChar w:fldCharType="separate"/>
      </w:r>
      <w:r>
        <w:rPr>
          <w:lang w:eastAsia="zh-CN"/>
        </w:rPr>
        <w:t>7.1.2.14 Spurious emissions for UE co-existence</w:t>
      </w:r>
      <w:r>
        <w:tab/>
      </w:r>
      <w:r>
        <w:fldChar w:fldCharType="begin"/>
      </w:r>
      <w:r>
        <w:instrText xml:space="preserve"> PAGEREF _Toc32286 \h </w:instrText>
      </w:r>
      <w:r>
        <w:fldChar w:fldCharType="separate"/>
      </w:r>
      <w:r>
        <w:t>89</w:t>
      </w:r>
      <w:r>
        <w:fldChar w:fldCharType="end"/>
      </w:r>
      <w:r>
        <w:fldChar w:fldCharType="end"/>
      </w:r>
    </w:p>
    <w:p>
      <w:pPr>
        <w:pStyle w:val="21"/>
        <w:tabs>
          <w:tab w:val="right" w:leader="dot" w:pos="9641"/>
          <w:tab w:val="clear" w:pos="9639"/>
        </w:tabs>
      </w:pPr>
      <w:r>
        <w:fldChar w:fldCharType="begin"/>
      </w:r>
      <w:r>
        <w:instrText xml:space="preserve"> HYPERLINK \l _Toc9497 </w:instrText>
      </w:r>
      <w:r>
        <w:fldChar w:fldCharType="separate"/>
      </w:r>
      <w:r>
        <w:rPr>
          <w:lang w:eastAsia="zh-CN"/>
        </w:rPr>
        <w:t>7.1.2.15 Transmit intermodulation</w:t>
      </w:r>
      <w:r>
        <w:tab/>
      </w:r>
      <w:r>
        <w:fldChar w:fldCharType="begin"/>
      </w:r>
      <w:r>
        <w:instrText xml:space="preserve"> PAGEREF _Toc9497 \h </w:instrText>
      </w:r>
      <w:r>
        <w:fldChar w:fldCharType="separate"/>
      </w:r>
      <w:r>
        <w:t>89</w:t>
      </w:r>
      <w:r>
        <w:fldChar w:fldCharType="end"/>
      </w:r>
      <w:r>
        <w:fldChar w:fldCharType="end"/>
      </w:r>
    </w:p>
    <w:p>
      <w:pPr>
        <w:pStyle w:val="21"/>
        <w:tabs>
          <w:tab w:val="right" w:leader="dot" w:pos="9641"/>
          <w:tab w:val="clear" w:pos="9639"/>
        </w:tabs>
      </w:pPr>
      <w:r>
        <w:fldChar w:fldCharType="begin"/>
      </w:r>
      <w:r>
        <w:instrText xml:space="preserve"> HYPERLINK \l _Toc19152 </w:instrText>
      </w:r>
      <w:r>
        <w:fldChar w:fldCharType="separate"/>
      </w:r>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_Toc19152 \h </w:instrText>
      </w:r>
      <w:r>
        <w:fldChar w:fldCharType="separate"/>
      </w:r>
      <w:r>
        <w:t>89</w:t>
      </w:r>
      <w:r>
        <w:fldChar w:fldCharType="end"/>
      </w:r>
      <w:r>
        <w:fldChar w:fldCharType="end"/>
      </w:r>
    </w:p>
    <w:p>
      <w:pPr>
        <w:pStyle w:val="21"/>
        <w:tabs>
          <w:tab w:val="right" w:pos="2400"/>
          <w:tab w:val="right" w:leader="dot" w:pos="9641"/>
          <w:tab w:val="clear" w:pos="9639"/>
        </w:tabs>
      </w:pPr>
      <w:r>
        <w:fldChar w:fldCharType="begin"/>
      </w:r>
      <w:r>
        <w:instrText xml:space="preserve"> HYPERLINK \l _Toc20007 </w:instrText>
      </w:r>
      <w:r>
        <w:fldChar w:fldCharType="separate"/>
      </w:r>
      <w:r>
        <w:rPr>
          <w:lang w:val="en-US" w:eastAsia="zh-CN"/>
        </w:rPr>
        <w:t>7.1.3.1</w:t>
      </w:r>
      <w:r>
        <w:rPr>
          <w:lang w:val="en-US" w:eastAsia="zh-CN"/>
        </w:rPr>
        <w:tab/>
      </w:r>
      <w:r>
        <w:rPr>
          <w:lang w:val="en-US" w:eastAsia="zh-CN"/>
        </w:rPr>
        <w:t>General</w:t>
      </w:r>
      <w:r>
        <w:tab/>
      </w:r>
      <w:r>
        <w:fldChar w:fldCharType="begin"/>
      </w:r>
      <w:r>
        <w:instrText xml:space="preserve"> PAGEREF _Toc20007 \h </w:instrText>
      </w:r>
      <w:r>
        <w:fldChar w:fldCharType="separate"/>
      </w:r>
      <w:r>
        <w:t>89</w:t>
      </w:r>
      <w:r>
        <w:fldChar w:fldCharType="end"/>
      </w:r>
      <w:r>
        <w:fldChar w:fldCharType="end"/>
      </w:r>
    </w:p>
    <w:p>
      <w:pPr>
        <w:pStyle w:val="21"/>
        <w:tabs>
          <w:tab w:val="right" w:pos="2400"/>
          <w:tab w:val="right" w:leader="dot" w:pos="9641"/>
          <w:tab w:val="clear" w:pos="9639"/>
        </w:tabs>
      </w:pPr>
      <w:r>
        <w:fldChar w:fldCharType="begin"/>
      </w:r>
      <w:r>
        <w:instrText xml:space="preserve"> HYPERLINK \l _Toc22875 </w:instrText>
      </w:r>
      <w:r>
        <w:fldChar w:fldCharType="separate"/>
      </w:r>
      <w:r>
        <w:rPr>
          <w:lang w:val="en-US" w:eastAsia="zh-CN"/>
        </w:rPr>
        <w:t>7.1.3.2</w:t>
      </w:r>
      <w:r>
        <w:rPr>
          <w:lang w:val="en-US" w:eastAsia="zh-CN"/>
        </w:rPr>
        <w:tab/>
      </w:r>
      <w:r>
        <w:rPr>
          <w:lang w:val="en-US" w:eastAsia="zh-CN"/>
        </w:rPr>
        <w:t>Diversity characteristics</w:t>
      </w:r>
      <w:r>
        <w:tab/>
      </w:r>
      <w:r>
        <w:fldChar w:fldCharType="begin"/>
      </w:r>
      <w:r>
        <w:instrText xml:space="preserve"> PAGEREF _Toc22875 \h </w:instrText>
      </w:r>
      <w:r>
        <w:fldChar w:fldCharType="separate"/>
      </w:r>
      <w:r>
        <w:t>89</w:t>
      </w:r>
      <w:r>
        <w:fldChar w:fldCharType="end"/>
      </w:r>
      <w:r>
        <w:fldChar w:fldCharType="end"/>
      </w:r>
    </w:p>
    <w:p>
      <w:pPr>
        <w:pStyle w:val="21"/>
        <w:tabs>
          <w:tab w:val="right" w:pos="2400"/>
          <w:tab w:val="right" w:leader="dot" w:pos="9641"/>
          <w:tab w:val="clear" w:pos="9639"/>
        </w:tabs>
      </w:pPr>
      <w:r>
        <w:fldChar w:fldCharType="begin"/>
      </w:r>
      <w:r>
        <w:instrText xml:space="preserve"> HYPERLINK \l _Toc24580 </w:instrText>
      </w:r>
      <w:r>
        <w:fldChar w:fldCharType="separate"/>
      </w:r>
      <w:r>
        <w:rPr>
          <w:lang w:val="en-US" w:eastAsia="zh-CN"/>
        </w:rPr>
        <w:t>7.1.3.3</w:t>
      </w:r>
      <w:r>
        <w:rPr>
          <w:lang w:val="en-US" w:eastAsia="zh-CN"/>
        </w:rPr>
        <w:tab/>
      </w:r>
      <w:r>
        <w:rPr>
          <w:lang w:val="en-US" w:eastAsia="zh-CN"/>
        </w:rPr>
        <w:t>REFSENS requirements</w:t>
      </w:r>
      <w:r>
        <w:tab/>
      </w:r>
      <w:r>
        <w:fldChar w:fldCharType="begin"/>
      </w:r>
      <w:r>
        <w:instrText xml:space="preserve"> PAGEREF _Toc24580 \h </w:instrText>
      </w:r>
      <w:r>
        <w:fldChar w:fldCharType="separate"/>
      </w:r>
      <w:r>
        <w:t>89</w:t>
      </w:r>
      <w:r>
        <w:fldChar w:fldCharType="end"/>
      </w:r>
      <w:r>
        <w:fldChar w:fldCharType="end"/>
      </w:r>
    </w:p>
    <w:p>
      <w:pPr>
        <w:pStyle w:val="21"/>
        <w:tabs>
          <w:tab w:val="right" w:leader="dot" w:pos="9641"/>
          <w:tab w:val="clear" w:pos="9639"/>
        </w:tabs>
      </w:pPr>
      <w:r>
        <w:fldChar w:fldCharType="begin"/>
      </w:r>
      <w:r>
        <w:instrText xml:space="preserve"> HYPERLINK \l _Toc23404 </w:instrText>
      </w:r>
      <w:r>
        <w:fldChar w:fldCharType="separate"/>
      </w:r>
      <w:r>
        <w:t>7</w:t>
      </w:r>
      <w:r>
        <w:rPr>
          <w:rFonts w:hint="eastAsia"/>
        </w:rPr>
        <w:t>.</w:t>
      </w:r>
      <w:r>
        <w:t>1</w:t>
      </w:r>
      <w:r>
        <w:rPr>
          <w:rFonts w:hint="eastAsia"/>
        </w:rPr>
        <w:t>.</w:t>
      </w:r>
      <w:r>
        <w:t>3</w:t>
      </w:r>
      <w:r>
        <w:rPr>
          <w:rFonts w:hint="eastAsia"/>
        </w:rPr>
        <w:t>.</w:t>
      </w:r>
      <w:r>
        <w:t>4</w:t>
      </w:r>
      <w:r>
        <w:rPr>
          <w:rFonts w:hint="eastAsia"/>
        </w:rPr>
        <w:t xml:space="preserve"> </w:t>
      </w:r>
      <w:r>
        <w:t>Maximum input level</w:t>
      </w:r>
      <w:r>
        <w:tab/>
      </w:r>
      <w:r>
        <w:fldChar w:fldCharType="begin"/>
      </w:r>
      <w:r>
        <w:instrText xml:space="preserve"> PAGEREF _Toc23404 \h </w:instrText>
      </w:r>
      <w:r>
        <w:fldChar w:fldCharType="separate"/>
      </w:r>
      <w:r>
        <w:t>91</w:t>
      </w:r>
      <w:r>
        <w:fldChar w:fldCharType="end"/>
      </w:r>
      <w:r>
        <w:fldChar w:fldCharType="end"/>
      </w:r>
    </w:p>
    <w:p>
      <w:pPr>
        <w:pStyle w:val="21"/>
        <w:tabs>
          <w:tab w:val="right" w:leader="dot" w:pos="9641"/>
          <w:tab w:val="clear" w:pos="9639"/>
        </w:tabs>
      </w:pPr>
      <w:r>
        <w:fldChar w:fldCharType="begin"/>
      </w:r>
      <w:r>
        <w:instrText xml:space="preserve"> HYPERLINK \l _Toc25210 </w:instrText>
      </w:r>
      <w:r>
        <w:fldChar w:fldCharType="separate"/>
      </w:r>
      <w:r>
        <w:t>7</w:t>
      </w:r>
      <w:r>
        <w:rPr>
          <w:rFonts w:hint="eastAsia"/>
        </w:rPr>
        <w:t>.</w:t>
      </w:r>
      <w:r>
        <w:t>1</w:t>
      </w:r>
      <w:r>
        <w:rPr>
          <w:rFonts w:hint="eastAsia"/>
        </w:rPr>
        <w:t>.</w:t>
      </w:r>
      <w:r>
        <w:t>3</w:t>
      </w:r>
      <w:r>
        <w:rPr>
          <w:rFonts w:hint="eastAsia"/>
        </w:rPr>
        <w:t>.</w:t>
      </w:r>
      <w:r>
        <w:t>5</w:t>
      </w:r>
      <w:r>
        <w:rPr>
          <w:rFonts w:hint="eastAsia"/>
        </w:rPr>
        <w:t xml:space="preserve"> </w:t>
      </w:r>
      <w:r>
        <w:t>Adjacent channel selectivity</w:t>
      </w:r>
      <w:r>
        <w:tab/>
      </w:r>
      <w:r>
        <w:fldChar w:fldCharType="begin"/>
      </w:r>
      <w:r>
        <w:instrText xml:space="preserve"> PAGEREF _Toc25210 \h </w:instrText>
      </w:r>
      <w:r>
        <w:fldChar w:fldCharType="separate"/>
      </w:r>
      <w:r>
        <w:t>91</w:t>
      </w:r>
      <w:r>
        <w:fldChar w:fldCharType="end"/>
      </w:r>
      <w:r>
        <w:fldChar w:fldCharType="end"/>
      </w:r>
    </w:p>
    <w:p>
      <w:pPr>
        <w:pStyle w:val="21"/>
        <w:tabs>
          <w:tab w:val="right" w:leader="dot" w:pos="9641"/>
          <w:tab w:val="clear" w:pos="9639"/>
        </w:tabs>
      </w:pPr>
      <w:r>
        <w:fldChar w:fldCharType="begin"/>
      </w:r>
      <w:r>
        <w:instrText xml:space="preserve"> HYPERLINK \l _Toc11053 </w:instrText>
      </w:r>
      <w:r>
        <w:fldChar w:fldCharType="separate"/>
      </w:r>
      <w:r>
        <w:t>7</w:t>
      </w:r>
      <w:r>
        <w:rPr>
          <w:rFonts w:hint="eastAsia"/>
        </w:rPr>
        <w:t>.</w:t>
      </w:r>
      <w:r>
        <w:t>1</w:t>
      </w:r>
      <w:r>
        <w:rPr>
          <w:rFonts w:hint="eastAsia"/>
        </w:rPr>
        <w:t>.</w:t>
      </w:r>
      <w:r>
        <w:t>3</w:t>
      </w:r>
      <w:r>
        <w:rPr>
          <w:rFonts w:hint="eastAsia"/>
        </w:rPr>
        <w:t>.</w:t>
      </w:r>
      <w:r>
        <w:t>6</w:t>
      </w:r>
      <w:r>
        <w:rPr>
          <w:rFonts w:hint="eastAsia"/>
        </w:rPr>
        <w:t xml:space="preserve"> </w:t>
      </w:r>
      <w:r>
        <w:t>In-band blocking requirements</w:t>
      </w:r>
      <w:r>
        <w:tab/>
      </w:r>
      <w:r>
        <w:fldChar w:fldCharType="begin"/>
      </w:r>
      <w:r>
        <w:instrText xml:space="preserve"> PAGEREF _Toc11053 \h </w:instrText>
      </w:r>
      <w:r>
        <w:fldChar w:fldCharType="separate"/>
      </w:r>
      <w:r>
        <w:t>91</w:t>
      </w:r>
      <w:r>
        <w:fldChar w:fldCharType="end"/>
      </w:r>
      <w:r>
        <w:fldChar w:fldCharType="end"/>
      </w:r>
    </w:p>
    <w:p>
      <w:pPr>
        <w:pStyle w:val="21"/>
        <w:tabs>
          <w:tab w:val="right" w:leader="dot" w:pos="9641"/>
          <w:tab w:val="clear" w:pos="9639"/>
        </w:tabs>
      </w:pPr>
      <w:r>
        <w:fldChar w:fldCharType="begin"/>
      </w:r>
      <w:r>
        <w:instrText xml:space="preserve"> HYPERLINK \l _Toc6766 </w:instrText>
      </w:r>
      <w:r>
        <w:fldChar w:fldCharType="separate"/>
      </w:r>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r>
        <w:tab/>
      </w:r>
      <w:r>
        <w:fldChar w:fldCharType="begin"/>
      </w:r>
      <w:r>
        <w:instrText xml:space="preserve"> PAGEREF _Toc6766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_Toc1991 </w:instrText>
      </w:r>
      <w:r>
        <w:fldChar w:fldCharType="separate"/>
      </w:r>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r>
        <w:tab/>
      </w:r>
      <w:r>
        <w:fldChar w:fldCharType="begin"/>
      </w:r>
      <w:r>
        <w:instrText xml:space="preserve"> PAGEREF _Toc1991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_Toc2265 </w:instrText>
      </w:r>
      <w:r>
        <w:fldChar w:fldCharType="separate"/>
      </w:r>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r>
        <w:tab/>
      </w:r>
      <w:r>
        <w:fldChar w:fldCharType="begin"/>
      </w:r>
      <w:r>
        <w:instrText xml:space="preserve"> PAGEREF _Toc2265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_Toc31487 </w:instrText>
      </w:r>
      <w:r>
        <w:fldChar w:fldCharType="separate"/>
      </w:r>
      <w:r>
        <w:t>7</w:t>
      </w:r>
      <w:r>
        <w:rPr>
          <w:rFonts w:hint="eastAsia"/>
        </w:rPr>
        <w:t>.</w:t>
      </w:r>
      <w:r>
        <w:t>1</w:t>
      </w:r>
      <w:r>
        <w:rPr>
          <w:rFonts w:hint="eastAsia"/>
        </w:rPr>
        <w:t>.</w:t>
      </w:r>
      <w:r>
        <w:t>3</w:t>
      </w:r>
      <w:r>
        <w:rPr>
          <w:rFonts w:hint="eastAsia"/>
        </w:rPr>
        <w:t>.</w:t>
      </w:r>
      <w:r>
        <w:t>10</w:t>
      </w:r>
      <w:r>
        <w:rPr>
          <w:rFonts w:hint="eastAsia"/>
        </w:rPr>
        <w:t xml:space="preserve"> </w:t>
      </w:r>
      <w:r>
        <w:t>Receiver Spurious emissions</w:t>
      </w:r>
      <w:r>
        <w:tab/>
      </w:r>
      <w:r>
        <w:fldChar w:fldCharType="begin"/>
      </w:r>
      <w:r>
        <w:instrText xml:space="preserve"> PAGEREF _Toc31487 \h </w:instrText>
      </w:r>
      <w:r>
        <w:fldChar w:fldCharType="separate"/>
      </w:r>
      <w:r>
        <w:t>94</w:t>
      </w:r>
      <w:r>
        <w:fldChar w:fldCharType="end"/>
      </w:r>
      <w:r>
        <w:fldChar w:fldCharType="end"/>
      </w:r>
    </w:p>
    <w:p>
      <w:pPr>
        <w:pStyle w:val="21"/>
        <w:tabs>
          <w:tab w:val="right" w:pos="2000"/>
          <w:tab w:val="right" w:leader="dot" w:pos="9641"/>
          <w:tab w:val="clear" w:pos="9639"/>
        </w:tabs>
      </w:pPr>
      <w:r>
        <w:fldChar w:fldCharType="begin"/>
      </w:r>
      <w:r>
        <w:instrText xml:space="preserve"> HYPERLINK \l _Toc4718 </w:instrText>
      </w:r>
      <w:r>
        <w:fldChar w:fldCharType="separate"/>
      </w:r>
      <w:r>
        <w:rPr>
          <w:rFonts w:hint="eastAsia"/>
          <w:lang w:eastAsia="zh-CN"/>
        </w:rPr>
        <w:t>7</w:t>
      </w:r>
      <w:r>
        <w:t>.2</w:t>
      </w:r>
      <w:r>
        <w:tab/>
      </w:r>
      <w:r>
        <w:rPr>
          <w:rFonts w:hint="eastAsia"/>
          <w:lang w:eastAsia="zh-CN"/>
        </w:rPr>
        <w:t xml:space="preserve">ATG </w:t>
      </w:r>
      <w:r>
        <w:t>BS specific</w:t>
      </w:r>
      <w:r>
        <w:tab/>
      </w:r>
      <w:r>
        <w:fldChar w:fldCharType="begin"/>
      </w:r>
      <w:r>
        <w:instrText xml:space="preserve"> PAGEREF _Toc4718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_Toc22705 </w:instrText>
      </w:r>
      <w:r>
        <w:fldChar w:fldCharType="separate"/>
      </w:r>
      <w:r>
        <w:rPr>
          <w:rFonts w:hint="eastAsia"/>
        </w:rPr>
        <w:t>7.2.1 ATG BS class and BS type</w:t>
      </w:r>
      <w:r>
        <w:tab/>
      </w:r>
      <w:r>
        <w:fldChar w:fldCharType="begin"/>
      </w:r>
      <w:r>
        <w:instrText xml:space="preserve"> PAGEREF _Toc22705 \h </w:instrText>
      </w:r>
      <w:r>
        <w:fldChar w:fldCharType="separate"/>
      </w:r>
      <w:r>
        <w:t>94</w:t>
      </w:r>
      <w:r>
        <w:fldChar w:fldCharType="end"/>
      </w:r>
      <w:r>
        <w:fldChar w:fldCharType="end"/>
      </w:r>
    </w:p>
    <w:p>
      <w:pPr>
        <w:pStyle w:val="21"/>
        <w:tabs>
          <w:tab w:val="right" w:leader="dot" w:pos="9641"/>
          <w:tab w:val="clear" w:pos="9639"/>
        </w:tabs>
      </w:pPr>
      <w:r>
        <w:fldChar w:fldCharType="begin"/>
      </w:r>
      <w:r>
        <w:instrText xml:space="preserve"> HYPERLINK \l _Toc7591 </w:instrText>
      </w:r>
      <w:r>
        <w:fldChar w:fldCharType="separate"/>
      </w:r>
      <w:r>
        <w:rPr>
          <w:rFonts w:hint="eastAsia"/>
        </w:rPr>
        <w:t xml:space="preserve">7.2.2 </w:t>
      </w:r>
      <w:r>
        <w:rPr>
          <w:rFonts w:hint="eastAsia"/>
          <w:lang w:eastAsia="zh-CN"/>
        </w:rPr>
        <w:t>Tx requirements</w:t>
      </w:r>
      <w:r>
        <w:tab/>
      </w:r>
      <w:r>
        <w:fldChar w:fldCharType="begin"/>
      </w:r>
      <w:r>
        <w:instrText xml:space="preserve"> PAGEREF _Toc7591 \h </w:instrText>
      </w:r>
      <w:r>
        <w:fldChar w:fldCharType="separate"/>
      </w:r>
      <w:r>
        <w:t>95</w:t>
      </w:r>
      <w:r>
        <w:fldChar w:fldCharType="end"/>
      </w:r>
      <w:r>
        <w:fldChar w:fldCharType="end"/>
      </w:r>
    </w:p>
    <w:p>
      <w:pPr>
        <w:pStyle w:val="21"/>
        <w:tabs>
          <w:tab w:val="right" w:leader="dot" w:pos="9641"/>
          <w:tab w:val="clear" w:pos="9639"/>
        </w:tabs>
      </w:pPr>
      <w:r>
        <w:fldChar w:fldCharType="begin"/>
      </w:r>
      <w:r>
        <w:instrText xml:space="preserve"> HYPERLINK \l _Toc3897 </w:instrText>
      </w:r>
      <w:r>
        <w:fldChar w:fldCharType="separate"/>
      </w:r>
      <w:r>
        <w:t xml:space="preserve">7.2.2.1 </w:t>
      </w:r>
      <w:r>
        <w:rPr>
          <w:rFonts w:hint="eastAsia"/>
        </w:rPr>
        <w:t>ATG</w:t>
      </w:r>
      <w:r>
        <w:t xml:space="preserve"> </w:t>
      </w:r>
      <w:r>
        <w:rPr>
          <w:rFonts w:hint="eastAsia"/>
        </w:rPr>
        <w:t>Ba</w:t>
      </w:r>
      <w:r>
        <w:t>se station power</w:t>
      </w:r>
      <w:r>
        <w:tab/>
      </w:r>
      <w:r>
        <w:fldChar w:fldCharType="begin"/>
      </w:r>
      <w:r>
        <w:instrText xml:space="preserve"> PAGEREF _Toc3897 \h </w:instrText>
      </w:r>
      <w:r>
        <w:fldChar w:fldCharType="separate"/>
      </w:r>
      <w:r>
        <w:t>95</w:t>
      </w:r>
      <w:r>
        <w:fldChar w:fldCharType="end"/>
      </w:r>
      <w:r>
        <w:fldChar w:fldCharType="end"/>
      </w:r>
    </w:p>
    <w:p>
      <w:pPr>
        <w:pStyle w:val="21"/>
        <w:tabs>
          <w:tab w:val="right" w:leader="dot" w:pos="9641"/>
          <w:tab w:val="clear" w:pos="9639"/>
        </w:tabs>
      </w:pPr>
      <w:r>
        <w:fldChar w:fldCharType="begin"/>
      </w:r>
      <w:r>
        <w:instrText xml:space="preserve"> HYPERLINK \l _Toc8721 </w:instrText>
      </w:r>
      <w:r>
        <w:fldChar w:fldCharType="separate"/>
      </w:r>
      <w:r>
        <w:t>7.2.2.2 Transmitted signal quality</w:t>
      </w:r>
      <w:r>
        <w:tab/>
      </w:r>
      <w:r>
        <w:fldChar w:fldCharType="begin"/>
      </w:r>
      <w:r>
        <w:instrText xml:space="preserve"> PAGEREF _Toc8721 \h </w:instrText>
      </w:r>
      <w:r>
        <w:fldChar w:fldCharType="separate"/>
      </w:r>
      <w:r>
        <w:t>95</w:t>
      </w:r>
      <w:r>
        <w:fldChar w:fldCharType="end"/>
      </w:r>
      <w:r>
        <w:fldChar w:fldCharType="end"/>
      </w:r>
    </w:p>
    <w:p>
      <w:pPr>
        <w:pStyle w:val="21"/>
        <w:tabs>
          <w:tab w:val="right" w:leader="dot" w:pos="9641"/>
          <w:tab w:val="clear" w:pos="9639"/>
        </w:tabs>
      </w:pPr>
      <w:r>
        <w:fldChar w:fldCharType="begin"/>
      </w:r>
      <w:r>
        <w:instrText xml:space="preserve"> HYPERLINK \l _Toc30732 </w:instrText>
      </w:r>
      <w:r>
        <w:fldChar w:fldCharType="separate"/>
      </w:r>
      <w:r>
        <w:t xml:space="preserve">7.2.2.3 </w:t>
      </w:r>
      <w:r>
        <w:rPr>
          <w:lang w:val="en-US" w:eastAsia="zh-CN"/>
        </w:rPr>
        <w:t>Un</w:t>
      </w:r>
      <w:r>
        <w:rPr>
          <w:rFonts w:hint="eastAsia"/>
          <w:lang w:val="en-US" w:eastAsia="zh-CN"/>
        </w:rPr>
        <w:t>wanted emission requirements</w:t>
      </w:r>
      <w:r>
        <w:tab/>
      </w:r>
      <w:r>
        <w:fldChar w:fldCharType="begin"/>
      </w:r>
      <w:r>
        <w:instrText xml:space="preserve"> PAGEREF _Toc30732 \h </w:instrText>
      </w:r>
      <w:r>
        <w:fldChar w:fldCharType="separate"/>
      </w:r>
      <w:r>
        <w:t>96</w:t>
      </w:r>
      <w:r>
        <w:fldChar w:fldCharType="end"/>
      </w:r>
      <w:r>
        <w:fldChar w:fldCharType="end"/>
      </w:r>
    </w:p>
    <w:p>
      <w:pPr>
        <w:pStyle w:val="21"/>
        <w:tabs>
          <w:tab w:val="right" w:leader="dot" w:pos="9641"/>
          <w:tab w:val="clear" w:pos="9639"/>
        </w:tabs>
      </w:pPr>
      <w:r>
        <w:fldChar w:fldCharType="begin"/>
      </w:r>
      <w:r>
        <w:instrText xml:space="preserve"> HYPERLINK \l _Toc15112 </w:instrText>
      </w:r>
      <w:r>
        <w:fldChar w:fldCharType="separate"/>
      </w:r>
      <w:r>
        <w:t>7.2.2.4 Transmitter spurious emissions</w:t>
      </w:r>
      <w:r>
        <w:tab/>
      </w:r>
      <w:r>
        <w:fldChar w:fldCharType="begin"/>
      </w:r>
      <w:r>
        <w:instrText xml:space="preserve"> PAGEREF _Toc15112 \h </w:instrText>
      </w:r>
      <w:r>
        <w:fldChar w:fldCharType="separate"/>
      </w:r>
      <w:r>
        <w:t>96</w:t>
      </w:r>
      <w:r>
        <w:fldChar w:fldCharType="end"/>
      </w:r>
      <w:r>
        <w:fldChar w:fldCharType="end"/>
      </w:r>
    </w:p>
    <w:p>
      <w:pPr>
        <w:pStyle w:val="21"/>
        <w:tabs>
          <w:tab w:val="right" w:leader="dot" w:pos="9641"/>
          <w:tab w:val="clear" w:pos="9639"/>
        </w:tabs>
      </w:pPr>
      <w:r>
        <w:fldChar w:fldCharType="begin"/>
      </w:r>
      <w:r>
        <w:instrText xml:space="preserve"> HYPERLINK \l _Toc4607 </w:instrText>
      </w:r>
      <w:r>
        <w:fldChar w:fldCharType="separate"/>
      </w:r>
      <w:r>
        <w:t>7.2.2.5 Transmitter intermodulation</w:t>
      </w:r>
      <w:r>
        <w:tab/>
      </w:r>
      <w:r>
        <w:fldChar w:fldCharType="begin"/>
      </w:r>
      <w:r>
        <w:instrText xml:space="preserve"> PAGEREF _Toc4607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_Toc8516 </w:instrText>
      </w:r>
      <w:r>
        <w:fldChar w:fldCharType="separate"/>
      </w:r>
      <w:r>
        <w:rPr>
          <w:rFonts w:hint="eastAsia"/>
        </w:rPr>
        <w:t>7.2.</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_Toc8516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_Toc18920 </w:instrText>
      </w:r>
      <w:r>
        <w:fldChar w:fldCharType="separate"/>
      </w:r>
      <w:r>
        <w:t>7.2.3.1 Reference sensitivity level</w:t>
      </w:r>
      <w:r>
        <w:tab/>
      </w:r>
      <w:r>
        <w:fldChar w:fldCharType="begin"/>
      </w:r>
      <w:r>
        <w:instrText xml:space="preserve"> PAGEREF _Toc18920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_Toc28188 </w:instrText>
      </w:r>
      <w:r>
        <w:fldChar w:fldCharType="separate"/>
      </w:r>
      <w:r>
        <w:t>7.2.3.2 Dynamic range</w:t>
      </w:r>
      <w:r>
        <w:tab/>
      </w:r>
      <w:r>
        <w:fldChar w:fldCharType="begin"/>
      </w:r>
      <w:r>
        <w:instrText xml:space="preserve"> PAGEREF _Toc28188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_Toc7924 </w:instrText>
      </w:r>
      <w:r>
        <w:fldChar w:fldCharType="separate"/>
      </w:r>
      <w:r>
        <w:t>7.2.3.3 ACS</w:t>
      </w:r>
      <w:r>
        <w:tab/>
      </w:r>
      <w:r>
        <w:fldChar w:fldCharType="begin"/>
      </w:r>
      <w:r>
        <w:instrText xml:space="preserve"> PAGEREF _Toc7924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_Toc26436 </w:instrText>
      </w:r>
      <w:r>
        <w:fldChar w:fldCharType="separate"/>
      </w:r>
      <w:r>
        <w:rPr>
          <w:lang w:eastAsia="en-US"/>
        </w:rPr>
        <w:t>7.2.3.4 In-band blocking</w:t>
      </w:r>
      <w:r>
        <w:tab/>
      </w:r>
      <w:r>
        <w:fldChar w:fldCharType="begin"/>
      </w:r>
      <w:r>
        <w:instrText xml:space="preserve"> PAGEREF _Toc26436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_Toc9280 </w:instrText>
      </w:r>
      <w:r>
        <w:fldChar w:fldCharType="separate"/>
      </w:r>
      <w:r>
        <w:rPr>
          <w:lang w:eastAsia="en-US"/>
        </w:rPr>
        <w:t>7.2.3.5 Receiver intermodulation</w:t>
      </w:r>
      <w:r>
        <w:tab/>
      </w:r>
      <w:r>
        <w:fldChar w:fldCharType="begin"/>
      </w:r>
      <w:r>
        <w:instrText xml:space="preserve"> PAGEREF _Toc9280 \h </w:instrText>
      </w:r>
      <w:r>
        <w:fldChar w:fldCharType="separate"/>
      </w:r>
      <w:r>
        <w:t>97</w:t>
      </w:r>
      <w:r>
        <w:fldChar w:fldCharType="end"/>
      </w:r>
      <w:r>
        <w:fldChar w:fldCharType="end"/>
      </w:r>
    </w:p>
    <w:p>
      <w:pPr>
        <w:pStyle w:val="21"/>
        <w:tabs>
          <w:tab w:val="right" w:leader="dot" w:pos="9641"/>
          <w:tab w:val="clear" w:pos="9639"/>
        </w:tabs>
      </w:pPr>
      <w:r>
        <w:fldChar w:fldCharType="begin"/>
      </w:r>
      <w:r>
        <w:instrText xml:space="preserve"> HYPERLINK \l _Toc30777 </w:instrText>
      </w:r>
      <w:r>
        <w:fldChar w:fldCharType="separate"/>
      </w:r>
      <w:r>
        <w:rPr>
          <w:lang w:eastAsia="en-US"/>
        </w:rPr>
        <w:t>7.2.3.6 Out of band blocking</w:t>
      </w:r>
      <w:r>
        <w:tab/>
      </w:r>
      <w:r>
        <w:fldChar w:fldCharType="begin"/>
      </w:r>
      <w:r>
        <w:instrText xml:space="preserve"> PAGEREF _Toc30777 \h </w:instrText>
      </w:r>
      <w:r>
        <w:fldChar w:fldCharType="separate"/>
      </w:r>
      <w:r>
        <w:t>98</w:t>
      </w:r>
      <w:r>
        <w:fldChar w:fldCharType="end"/>
      </w:r>
      <w:r>
        <w:fldChar w:fldCharType="end"/>
      </w:r>
    </w:p>
    <w:p>
      <w:pPr>
        <w:pStyle w:val="21"/>
        <w:tabs>
          <w:tab w:val="right" w:leader="dot" w:pos="9641"/>
          <w:tab w:val="clear" w:pos="9639"/>
        </w:tabs>
      </w:pPr>
      <w:r>
        <w:fldChar w:fldCharType="begin"/>
      </w:r>
      <w:r>
        <w:instrText xml:space="preserve"> HYPERLINK \l _Toc13683 </w:instrText>
      </w:r>
      <w:r>
        <w:fldChar w:fldCharType="separate"/>
      </w:r>
      <w:r>
        <w:rPr>
          <w:lang w:eastAsia="en-US"/>
        </w:rPr>
        <w:t>7.2.3.7 In-channel selectivity</w:t>
      </w:r>
      <w:r>
        <w:tab/>
      </w:r>
      <w:r>
        <w:fldChar w:fldCharType="begin"/>
      </w:r>
      <w:r>
        <w:instrText xml:space="preserve"> PAGEREF _Toc13683 \h </w:instrText>
      </w:r>
      <w:r>
        <w:fldChar w:fldCharType="separate"/>
      </w:r>
      <w:r>
        <w:t>98</w:t>
      </w:r>
      <w:r>
        <w:fldChar w:fldCharType="end"/>
      </w:r>
      <w:r>
        <w:fldChar w:fldCharType="end"/>
      </w:r>
    </w:p>
    <w:p>
      <w:pPr>
        <w:pStyle w:val="21"/>
        <w:tabs>
          <w:tab w:val="right" w:pos="2000"/>
          <w:tab w:val="right" w:leader="dot" w:pos="9641"/>
          <w:tab w:val="clear" w:pos="9639"/>
        </w:tabs>
      </w:pPr>
      <w:r>
        <w:fldChar w:fldCharType="begin"/>
      </w:r>
      <w:r>
        <w:instrText xml:space="preserve"> HYPERLINK \l _Toc1153 </w:instrText>
      </w:r>
      <w:r>
        <w:fldChar w:fldCharType="separate"/>
      </w:r>
      <w:r>
        <w:rPr>
          <w:rFonts w:hint="eastAsia"/>
          <w:lang w:val="sv-SE" w:eastAsia="zh-CN"/>
        </w:rPr>
        <w:t>8</w:t>
      </w:r>
      <w:r>
        <w:rPr>
          <w:lang w:val="sv-SE"/>
        </w:rPr>
        <w:tab/>
      </w:r>
      <w:r>
        <w:rPr>
          <w:rFonts w:hint="eastAsia"/>
          <w:lang w:val="sv-SE" w:eastAsia="zh-CN"/>
        </w:rPr>
        <w:t>RRM requirements</w:t>
      </w:r>
      <w:r>
        <w:tab/>
      </w:r>
      <w:r>
        <w:fldChar w:fldCharType="begin"/>
      </w:r>
      <w:r>
        <w:instrText xml:space="preserve"> PAGEREF _Toc1153 \h </w:instrText>
      </w:r>
      <w:r>
        <w:fldChar w:fldCharType="separate"/>
      </w:r>
      <w:r>
        <w:t>98</w:t>
      </w:r>
      <w:r>
        <w:fldChar w:fldCharType="end"/>
      </w:r>
      <w:r>
        <w:fldChar w:fldCharType="end"/>
      </w:r>
    </w:p>
    <w:p>
      <w:pPr>
        <w:pStyle w:val="21"/>
        <w:tabs>
          <w:tab w:val="right" w:leader="dot" w:pos="9641"/>
          <w:tab w:val="clear" w:pos="9639"/>
        </w:tabs>
      </w:pPr>
      <w:r>
        <w:fldChar w:fldCharType="begin"/>
      </w:r>
      <w:r>
        <w:instrText xml:space="preserve"> HYPERLINK \l _Toc11412 </w:instrText>
      </w:r>
      <w:r>
        <w:fldChar w:fldCharType="separate"/>
      </w:r>
      <w:r>
        <w:t>8.1 General</w:t>
      </w:r>
      <w:r>
        <w:tab/>
      </w:r>
      <w:r>
        <w:fldChar w:fldCharType="begin"/>
      </w:r>
      <w:r>
        <w:instrText xml:space="preserve"> PAGEREF _Toc11412 \h </w:instrText>
      </w:r>
      <w:r>
        <w:fldChar w:fldCharType="separate"/>
      </w:r>
      <w:r>
        <w:t>98</w:t>
      </w:r>
      <w:r>
        <w:fldChar w:fldCharType="end"/>
      </w:r>
      <w:r>
        <w:fldChar w:fldCharType="end"/>
      </w:r>
    </w:p>
    <w:p>
      <w:pPr>
        <w:pStyle w:val="21"/>
        <w:tabs>
          <w:tab w:val="right" w:leader="dot" w:pos="9641"/>
          <w:tab w:val="clear" w:pos="9639"/>
        </w:tabs>
      </w:pPr>
      <w:r>
        <w:fldChar w:fldCharType="begin"/>
      </w:r>
      <w:r>
        <w:instrText xml:space="preserve"> HYPERLINK \l _Toc21210 </w:instrText>
      </w:r>
      <w:r>
        <w:fldChar w:fldCharType="separate"/>
      </w:r>
      <w:r>
        <w:rPr>
          <w:rFonts w:hint="eastAsia"/>
          <w:lang w:eastAsia="zh-CN"/>
        </w:rPr>
        <w:t>9</w:t>
      </w:r>
      <w:r>
        <w:rPr>
          <w:rFonts w:hint="eastAsia" w:eastAsia="宋体"/>
          <w:lang w:val="en-US" w:eastAsia="zh-CN"/>
        </w:rPr>
        <w:t xml:space="preserve"> </w:t>
      </w:r>
      <w:r>
        <w:rPr>
          <w:rFonts w:hint="eastAsia"/>
          <w:lang w:eastAsia="zh-CN"/>
        </w:rPr>
        <w:t>Conclusion</w:t>
      </w:r>
      <w:r>
        <w:tab/>
      </w:r>
      <w:r>
        <w:fldChar w:fldCharType="begin"/>
      </w:r>
      <w:r>
        <w:instrText xml:space="preserve"> PAGEREF _Toc21210 \h </w:instrText>
      </w:r>
      <w:r>
        <w:fldChar w:fldCharType="separate"/>
      </w:r>
      <w:r>
        <w:t>100</w:t>
      </w:r>
      <w:r>
        <w:fldChar w:fldCharType="end"/>
      </w:r>
      <w:r>
        <w:fldChar w:fldCharType="end"/>
      </w:r>
    </w:p>
    <w:p>
      <w:pPr>
        <w:pStyle w:val="21"/>
        <w:tabs>
          <w:tab w:val="right" w:pos="2000"/>
          <w:tab w:val="right" w:leader="dot" w:pos="9641"/>
          <w:tab w:val="clear" w:pos="9639"/>
        </w:tabs>
      </w:pPr>
      <w:r>
        <w:fldChar w:fldCharType="begin"/>
      </w:r>
      <w:r>
        <w:instrText xml:space="preserve"> HYPERLINK \l _Toc32449 </w:instrText>
      </w:r>
      <w:r>
        <w:fldChar w:fldCharType="separate"/>
      </w:r>
      <w:r>
        <w:rPr>
          <w:rFonts w:hint="eastAsia"/>
          <w:lang w:eastAsia="zh-CN"/>
        </w:rPr>
        <w:t>1</w:t>
      </w:r>
      <w:r>
        <w:rPr>
          <w:rFonts w:hint="eastAsia"/>
        </w:rPr>
        <w:t>0</w:t>
      </w:r>
      <w:r>
        <w:tab/>
      </w:r>
      <w:r>
        <w:t>Required changes to NR</w:t>
      </w:r>
      <w:r>
        <w:rPr>
          <w:rFonts w:hint="eastAsia"/>
        </w:rPr>
        <w:t xml:space="preserve">, </w:t>
      </w:r>
      <w:r>
        <w:t>E-UTRA, UTRA and MSR specifications</w:t>
      </w:r>
      <w:r>
        <w:tab/>
      </w:r>
      <w:r>
        <w:fldChar w:fldCharType="begin"/>
      </w:r>
      <w:r>
        <w:instrText xml:space="preserve"> PAGEREF _Toc32449 \h </w:instrText>
      </w:r>
      <w:r>
        <w:fldChar w:fldCharType="separate"/>
      </w:r>
      <w:r>
        <w:t>101</w:t>
      </w:r>
      <w:r>
        <w:fldChar w:fldCharType="end"/>
      </w:r>
      <w:r>
        <w:fldChar w:fldCharType="end"/>
      </w:r>
    </w:p>
    <w:p>
      <w:pPr>
        <w:pStyle w:val="21"/>
        <w:tabs>
          <w:tab w:val="right" w:pos="2400"/>
          <w:tab w:val="right" w:leader="dot" w:pos="9641"/>
          <w:tab w:val="clear" w:pos="9639"/>
        </w:tabs>
      </w:pPr>
      <w:r>
        <w:fldChar w:fldCharType="begin"/>
      </w:r>
      <w:r>
        <w:instrText xml:space="preserve"> HYPERLINK \l _Toc26476 </w:instrText>
      </w:r>
      <w:r>
        <w:fldChar w:fldCharType="separate"/>
      </w:r>
      <w:r>
        <w:rPr>
          <w:rFonts w:hint="eastAsia"/>
          <w:lang w:eastAsia="zh-CN"/>
        </w:rPr>
        <w:t>Annex</w:t>
      </w:r>
      <w:r>
        <w:rPr>
          <w:rFonts w:hint="eastAsia"/>
          <w:lang w:eastAsia="zh-CN"/>
        </w:rPr>
        <w:tab/>
      </w:r>
      <w:r>
        <w:rPr>
          <w:rFonts w:hint="eastAsia"/>
          <w:lang w:eastAsia="zh-CN"/>
        </w:rPr>
        <w:t>A:</w:t>
      </w:r>
      <w:r>
        <w:rPr>
          <w:rFonts w:hint="eastAsia"/>
          <w:lang w:eastAsia="zh-CN"/>
        </w:rPr>
        <w:t xml:space="preserve"> </w:t>
      </w:r>
      <w:r>
        <w:rPr>
          <w:rFonts w:hint="eastAsia"/>
          <w:lang w:eastAsia="zh-CN"/>
        </w:rPr>
        <w:t xml:space="preserve">Calibration results of </w:t>
      </w:r>
      <w:r>
        <w:rPr>
          <w:rFonts w:hint="eastAsia"/>
          <w:lang w:val="en-US" w:eastAsia="zh-CN"/>
        </w:rPr>
        <w:t>synchronized operation</w:t>
      </w:r>
      <w:r>
        <w:tab/>
      </w:r>
      <w:r>
        <w:fldChar w:fldCharType="begin"/>
      </w:r>
      <w:r>
        <w:instrText xml:space="preserve"> PAGEREF _Toc26476 \h </w:instrText>
      </w:r>
      <w:r>
        <w:fldChar w:fldCharType="separate"/>
      </w:r>
      <w:r>
        <w:t>101</w:t>
      </w:r>
      <w:r>
        <w:fldChar w:fldCharType="end"/>
      </w:r>
      <w:r>
        <w:fldChar w:fldCharType="end"/>
      </w:r>
    </w:p>
    <w:p>
      <w:pPr>
        <w:pStyle w:val="21"/>
        <w:tabs>
          <w:tab w:val="right" w:pos="2000"/>
          <w:tab w:val="right" w:leader="dot" w:pos="9641"/>
          <w:tab w:val="clear" w:pos="9639"/>
        </w:tabs>
      </w:pPr>
      <w:r>
        <w:fldChar w:fldCharType="begin"/>
      </w:r>
      <w:r>
        <w:instrText xml:space="preserve"> HYPERLINK \l _Toc26685 </w:instrText>
      </w:r>
      <w:r>
        <w:fldChar w:fldCharType="separate"/>
      </w:r>
      <w:r>
        <w:t>A.1</w:t>
      </w:r>
      <w:r>
        <w:tab/>
      </w:r>
      <w:r>
        <w:t>Calibration assumptions</w:t>
      </w:r>
      <w:r>
        <w:tab/>
      </w:r>
      <w:r>
        <w:fldChar w:fldCharType="begin"/>
      </w:r>
      <w:r>
        <w:instrText xml:space="preserve"> PAGEREF _Toc26685 \h </w:instrText>
      </w:r>
      <w:r>
        <w:fldChar w:fldCharType="separate"/>
      </w:r>
      <w:r>
        <w:t>101</w:t>
      </w:r>
      <w:r>
        <w:fldChar w:fldCharType="end"/>
      </w:r>
      <w:r>
        <w:fldChar w:fldCharType="end"/>
      </w:r>
    </w:p>
    <w:p>
      <w:pPr>
        <w:pStyle w:val="21"/>
        <w:tabs>
          <w:tab w:val="right" w:pos="2000"/>
          <w:tab w:val="right" w:leader="dot" w:pos="9641"/>
          <w:tab w:val="clear" w:pos="9639"/>
        </w:tabs>
      </w:pPr>
      <w:r>
        <w:fldChar w:fldCharType="begin"/>
      </w:r>
      <w:r>
        <w:instrText xml:space="preserve"> HYPERLINK \l _Toc30083 </w:instrText>
      </w:r>
      <w:r>
        <w:fldChar w:fldCharType="separate"/>
      </w:r>
      <w:r>
        <w:t>A.2</w:t>
      </w:r>
      <w:r>
        <w:tab/>
      </w:r>
      <w:r>
        <w:t>Calibration results at 2GHz</w:t>
      </w:r>
      <w:r>
        <w:rPr>
          <w:rFonts w:hint="eastAsia"/>
          <w:lang w:val="en-US" w:eastAsia="zh-CN"/>
        </w:rPr>
        <w:t xml:space="preserve"> and 4GHz</w:t>
      </w:r>
      <w:r>
        <w:tab/>
      </w:r>
      <w:r>
        <w:fldChar w:fldCharType="begin"/>
      </w:r>
      <w:r>
        <w:instrText xml:space="preserve"> PAGEREF _Toc30083 \h </w:instrText>
      </w:r>
      <w:r>
        <w:fldChar w:fldCharType="separate"/>
      </w:r>
      <w:r>
        <w:t>101</w:t>
      </w:r>
      <w:r>
        <w:fldChar w:fldCharType="end"/>
      </w:r>
      <w:r>
        <w:fldChar w:fldCharType="end"/>
      </w:r>
    </w:p>
    <w:p>
      <w:pPr>
        <w:pStyle w:val="21"/>
        <w:tabs>
          <w:tab w:val="right" w:pos="2400"/>
          <w:tab w:val="right" w:leader="dot" w:pos="9641"/>
          <w:tab w:val="clear" w:pos="9639"/>
        </w:tabs>
      </w:pPr>
      <w:r>
        <w:fldChar w:fldCharType="begin"/>
      </w:r>
      <w:r>
        <w:instrText xml:space="preserve"> HYPERLINK \l _Toc7669 </w:instrText>
      </w:r>
      <w:r>
        <w:fldChar w:fldCharType="separate"/>
      </w:r>
      <w:r>
        <w:rPr>
          <w:rFonts w:hint="eastAsia"/>
          <w:lang w:eastAsia="zh-CN"/>
        </w:rPr>
        <w:t>Annex B:</w:t>
      </w:r>
      <w:r>
        <w:rPr>
          <w:rFonts w:hint="eastAsia"/>
          <w:lang w:eastAsia="zh-CN"/>
        </w:rPr>
        <w:tab/>
      </w:r>
      <w:r>
        <w:rPr>
          <w:rFonts w:hint="eastAsia"/>
          <w:lang w:eastAsia="zh-CN"/>
        </w:rPr>
        <w:t xml:space="preserve">Calibration results of </w:t>
      </w:r>
      <w:r>
        <w:rPr>
          <w:rFonts w:hint="eastAsia"/>
          <w:lang w:val="en-US" w:eastAsia="zh-CN"/>
        </w:rPr>
        <w:t>non-synchronized operation</w:t>
      </w:r>
      <w:r>
        <w:tab/>
      </w:r>
      <w:r>
        <w:fldChar w:fldCharType="begin"/>
      </w:r>
      <w:r>
        <w:instrText xml:space="preserve"> PAGEREF _Toc7669 \h </w:instrText>
      </w:r>
      <w:r>
        <w:fldChar w:fldCharType="separate"/>
      </w:r>
      <w:r>
        <w:t>102</w:t>
      </w:r>
      <w:r>
        <w:fldChar w:fldCharType="end"/>
      </w:r>
      <w:r>
        <w:fldChar w:fldCharType="end"/>
      </w:r>
    </w:p>
    <w:p>
      <w:pPr>
        <w:pStyle w:val="21"/>
        <w:tabs>
          <w:tab w:val="right" w:pos="2000"/>
          <w:tab w:val="right" w:leader="dot" w:pos="9641"/>
          <w:tab w:val="clear" w:pos="9639"/>
        </w:tabs>
      </w:pPr>
      <w:r>
        <w:fldChar w:fldCharType="begin"/>
      </w:r>
      <w:r>
        <w:instrText xml:space="preserve"> HYPERLINK \l _Toc30080 </w:instrText>
      </w:r>
      <w:r>
        <w:fldChar w:fldCharType="separate"/>
      </w:r>
      <w:r>
        <w:t>B.1</w:t>
      </w:r>
      <w:r>
        <w:tab/>
      </w:r>
      <w:r>
        <w:t>Calibration assumptions</w:t>
      </w:r>
      <w:r>
        <w:tab/>
      </w:r>
      <w:r>
        <w:fldChar w:fldCharType="begin"/>
      </w:r>
      <w:r>
        <w:instrText xml:space="preserve"> PAGEREF _Toc30080 \h </w:instrText>
      </w:r>
      <w:r>
        <w:fldChar w:fldCharType="separate"/>
      </w:r>
      <w:r>
        <w:t>102</w:t>
      </w:r>
      <w:r>
        <w:fldChar w:fldCharType="end"/>
      </w:r>
      <w:r>
        <w:fldChar w:fldCharType="end"/>
      </w:r>
    </w:p>
    <w:p>
      <w:pPr>
        <w:pStyle w:val="21"/>
        <w:tabs>
          <w:tab w:val="right" w:pos="2000"/>
          <w:tab w:val="right" w:leader="dot" w:pos="9641"/>
          <w:tab w:val="clear" w:pos="9639"/>
        </w:tabs>
      </w:pPr>
      <w:r>
        <w:fldChar w:fldCharType="begin"/>
      </w:r>
      <w:r>
        <w:instrText xml:space="preserve"> HYPERLINK \l _Toc30506 </w:instrText>
      </w:r>
      <w:r>
        <w:fldChar w:fldCharType="separate"/>
      </w:r>
      <w:r>
        <w:t>B.2</w:t>
      </w:r>
      <w:r>
        <w:tab/>
      </w:r>
      <w:r>
        <w:t>Calibration results at 2GHz</w:t>
      </w:r>
      <w:r>
        <w:rPr>
          <w:rFonts w:hint="eastAsia" w:eastAsia="宋体"/>
          <w:lang w:val="en-US" w:eastAsia="zh-CN"/>
        </w:rPr>
        <w:t xml:space="preserve"> and 4GHz</w:t>
      </w:r>
      <w:r>
        <w:tab/>
      </w:r>
      <w:r>
        <w:fldChar w:fldCharType="begin"/>
      </w:r>
      <w:r>
        <w:instrText xml:space="preserve"> PAGEREF _Toc30506 \h </w:instrText>
      </w:r>
      <w:r>
        <w:fldChar w:fldCharType="separate"/>
      </w:r>
      <w:r>
        <w:t>102</w:t>
      </w:r>
      <w:r>
        <w:fldChar w:fldCharType="end"/>
      </w:r>
      <w:r>
        <w:fldChar w:fldCharType="end"/>
      </w:r>
    </w:p>
    <w:p>
      <w:pPr>
        <w:pStyle w:val="21"/>
        <w:tabs>
          <w:tab w:val="right" w:leader="dot" w:pos="9641"/>
          <w:tab w:val="clear" w:pos="9639"/>
        </w:tabs>
      </w:pPr>
      <w:r>
        <w:fldChar w:fldCharType="begin"/>
      </w:r>
      <w:r>
        <w:instrText xml:space="preserve"> HYPERLINK \l _Toc10365 </w:instrText>
      </w:r>
      <w:r>
        <w:fldChar w:fldCharType="separate"/>
      </w:r>
      <w:r>
        <w:rPr>
          <w:rFonts w:hint="eastAsia" w:eastAsia="Times New Roman"/>
          <w:lang w:eastAsia="zh-CN"/>
        </w:rPr>
        <w:t>Annex C</w:t>
      </w:r>
      <w:r>
        <w:rPr>
          <w:rFonts w:hint="eastAsia"/>
          <w:lang w:val="en-US" w:eastAsia="zh-CN"/>
        </w:rPr>
        <w:t>:</w:t>
      </w:r>
      <w:r>
        <w:rPr>
          <w:rFonts w:hint="eastAsia" w:eastAsia="Times New Roman"/>
          <w:lang w:eastAsia="zh-CN"/>
        </w:rPr>
        <w:t xml:space="preserve"> Co-existence scenarios simulation data</w:t>
      </w:r>
      <w:r>
        <w:tab/>
      </w:r>
      <w:r>
        <w:fldChar w:fldCharType="begin"/>
      </w:r>
      <w:r>
        <w:instrText xml:space="preserve"> PAGEREF _Toc10365 \h </w:instrText>
      </w:r>
      <w:r>
        <w:fldChar w:fldCharType="separate"/>
      </w:r>
      <w:r>
        <w:t>102</w:t>
      </w:r>
      <w:r>
        <w:fldChar w:fldCharType="end"/>
      </w:r>
      <w:r>
        <w:fldChar w:fldCharType="end"/>
      </w:r>
    </w:p>
    <w:p>
      <w:pPr>
        <w:pStyle w:val="21"/>
        <w:tabs>
          <w:tab w:val="right" w:leader="dot" w:pos="9641"/>
          <w:tab w:val="clear" w:pos="9639"/>
        </w:tabs>
      </w:pPr>
      <w:r>
        <w:fldChar w:fldCharType="begin"/>
      </w:r>
      <w:r>
        <w:instrText xml:space="preserve"> HYPERLINK \l _Toc17407 </w:instrText>
      </w:r>
      <w:r>
        <w:fldChar w:fldCharType="separate"/>
      </w:r>
      <w:r>
        <w:t>C.1 Synchronized scenarios</w:t>
      </w:r>
      <w:r>
        <w:tab/>
      </w:r>
      <w:r>
        <w:fldChar w:fldCharType="begin"/>
      </w:r>
      <w:r>
        <w:instrText xml:space="preserve"> PAGEREF _Toc17407 \h </w:instrText>
      </w:r>
      <w:r>
        <w:fldChar w:fldCharType="separate"/>
      </w:r>
      <w:r>
        <w:t>102</w:t>
      </w:r>
      <w:r>
        <w:fldChar w:fldCharType="end"/>
      </w:r>
      <w:r>
        <w:fldChar w:fldCharType="end"/>
      </w:r>
    </w:p>
    <w:p>
      <w:pPr>
        <w:pStyle w:val="21"/>
        <w:tabs>
          <w:tab w:val="right" w:leader="dot" w:pos="9641"/>
          <w:tab w:val="clear" w:pos="9639"/>
        </w:tabs>
      </w:pPr>
      <w:r>
        <w:fldChar w:fldCharType="begin"/>
      </w:r>
      <w:r>
        <w:instrText xml:space="preserve"> HYPERLINK \l _Toc11194 </w:instrText>
      </w:r>
      <w:r>
        <w:fldChar w:fldCharType="separate"/>
      </w:r>
      <w:r>
        <w:t>C.2 Non-Synchronized scenarios</w:t>
      </w:r>
      <w:r>
        <w:tab/>
      </w:r>
      <w:r>
        <w:fldChar w:fldCharType="begin"/>
      </w:r>
      <w:r>
        <w:instrText xml:space="preserve"> PAGEREF _Toc11194 \h </w:instrText>
      </w:r>
      <w:r>
        <w:fldChar w:fldCharType="separate"/>
      </w:r>
      <w:r>
        <w:t>103</w:t>
      </w:r>
      <w:r>
        <w:fldChar w:fldCharType="end"/>
      </w:r>
      <w:r>
        <w:fldChar w:fldCharType="end"/>
      </w:r>
    </w:p>
    <w:p>
      <w:pPr>
        <w:pStyle w:val="21"/>
        <w:tabs>
          <w:tab w:val="right" w:leader="dot" w:pos="9641"/>
          <w:tab w:val="clear" w:pos="9639"/>
        </w:tabs>
      </w:pPr>
      <w:r>
        <w:fldChar w:fldCharType="begin"/>
      </w:r>
      <w:r>
        <w:instrText xml:space="preserve"> HYPERLINK \l _Toc11190 </w:instrText>
      </w:r>
      <w:r>
        <w:fldChar w:fldCharType="separate"/>
      </w:r>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r>
        <w:tab/>
      </w:r>
      <w:r>
        <w:fldChar w:fldCharType="begin"/>
      </w:r>
      <w:r>
        <w:instrText xml:space="preserve"> PAGEREF _Toc11190 \h </w:instrText>
      </w:r>
      <w:r>
        <w:fldChar w:fldCharType="separate"/>
      </w:r>
      <w:r>
        <w:t>103</w:t>
      </w:r>
      <w:r>
        <w:fldChar w:fldCharType="end"/>
      </w:r>
      <w:r>
        <w:fldChar w:fldCharType="end"/>
      </w:r>
    </w:p>
    <w:p>
      <w:pPr>
        <w:pStyle w:val="21"/>
        <w:tabs>
          <w:tab w:val="right" w:leader="dot" w:pos="9641"/>
          <w:tab w:val="clear" w:pos="9639"/>
        </w:tabs>
      </w:pPr>
      <w:r>
        <w:fldChar w:fldCharType="begin"/>
      </w:r>
      <w:r>
        <w:instrText xml:space="preserve"> HYPERLINK \l _Toc5226 </w:instrText>
      </w:r>
      <w:r>
        <w:fldChar w:fldCharType="separate"/>
      </w:r>
      <w:r>
        <w:rPr>
          <w:lang w:eastAsia="ja-JP"/>
        </w:rPr>
        <w:t>D.1 Synchronized scenarios</w:t>
      </w:r>
      <w:r>
        <w:tab/>
      </w:r>
      <w:r>
        <w:fldChar w:fldCharType="begin"/>
      </w:r>
      <w:r>
        <w:instrText xml:space="preserve"> PAGEREF _Toc5226 \h </w:instrText>
      </w:r>
      <w:r>
        <w:fldChar w:fldCharType="separate"/>
      </w:r>
      <w:r>
        <w:t>103</w:t>
      </w:r>
      <w:r>
        <w:fldChar w:fldCharType="end"/>
      </w:r>
      <w:r>
        <w:fldChar w:fldCharType="end"/>
      </w:r>
    </w:p>
    <w:p>
      <w:pPr>
        <w:pStyle w:val="21"/>
        <w:tabs>
          <w:tab w:val="right" w:leader="dot" w:pos="9641"/>
          <w:tab w:val="clear" w:pos="9639"/>
        </w:tabs>
      </w:pPr>
      <w:r>
        <w:fldChar w:fldCharType="begin"/>
      </w:r>
      <w:r>
        <w:instrText xml:space="preserve"> HYPERLINK \l _Toc13769 </w:instrText>
      </w:r>
      <w:r>
        <w:fldChar w:fldCharType="separate"/>
      </w:r>
      <w:r>
        <w:rPr>
          <w:lang w:val="en-IN" w:eastAsia="ja-JP"/>
        </w:rPr>
        <w:t xml:space="preserve">D.1.1  </w:t>
      </w:r>
      <w:r>
        <w:rPr>
          <w:lang w:eastAsia="ja-JP"/>
        </w:rPr>
        <w:t>Impact of the number of TN BS columns</w:t>
      </w:r>
      <w:r>
        <w:tab/>
      </w:r>
      <w:r>
        <w:fldChar w:fldCharType="begin"/>
      </w:r>
      <w:r>
        <w:instrText xml:space="preserve"> PAGEREF _Toc13769 \h </w:instrText>
      </w:r>
      <w:r>
        <w:fldChar w:fldCharType="separate"/>
      </w:r>
      <w:r>
        <w:t>103</w:t>
      </w:r>
      <w:r>
        <w:fldChar w:fldCharType="end"/>
      </w:r>
      <w:r>
        <w:fldChar w:fldCharType="end"/>
      </w:r>
    </w:p>
    <w:p>
      <w:pPr>
        <w:pStyle w:val="21"/>
        <w:tabs>
          <w:tab w:val="right" w:leader="dot" w:pos="9641"/>
          <w:tab w:val="clear" w:pos="9639"/>
        </w:tabs>
      </w:pPr>
      <w:r>
        <w:fldChar w:fldCharType="begin"/>
      </w:r>
      <w:r>
        <w:instrText xml:space="preserve"> HYPERLINK \l _Toc16104 </w:instrText>
      </w:r>
      <w:r>
        <w:fldChar w:fldCharType="separate"/>
      </w:r>
      <w:r>
        <w:rPr>
          <w:lang w:val="en-IN" w:eastAsia="ja-JP"/>
        </w:rPr>
        <w:t xml:space="preserve">D.1.2  </w:t>
      </w:r>
      <w:r>
        <w:rPr>
          <w:lang w:eastAsia="ja-JP"/>
        </w:rPr>
        <w:t>Impact of ATG UE antenna type</w:t>
      </w:r>
      <w:r>
        <w:tab/>
      </w:r>
      <w:r>
        <w:fldChar w:fldCharType="begin"/>
      </w:r>
      <w:r>
        <w:instrText xml:space="preserve"> PAGEREF _Toc16104 \h </w:instrText>
      </w:r>
      <w:r>
        <w:fldChar w:fldCharType="separate"/>
      </w:r>
      <w:r>
        <w:t>103</w:t>
      </w:r>
      <w:r>
        <w:fldChar w:fldCharType="end"/>
      </w:r>
      <w:r>
        <w:fldChar w:fldCharType="end"/>
      </w:r>
    </w:p>
    <w:p>
      <w:pPr>
        <w:pStyle w:val="21"/>
        <w:tabs>
          <w:tab w:val="right" w:leader="dot" w:pos="9641"/>
          <w:tab w:val="clear" w:pos="9639"/>
        </w:tabs>
      </w:pPr>
      <w:r>
        <w:fldChar w:fldCharType="begin"/>
      </w:r>
      <w:r>
        <w:instrText xml:space="preserve"> HYPERLINK \l _Toc7368 </w:instrText>
      </w:r>
      <w:r>
        <w:fldChar w:fldCharType="separate"/>
      </w:r>
      <w:r>
        <w:rPr>
          <w:lang w:val="en-IN" w:eastAsia="ja-JP"/>
        </w:rPr>
        <w:t xml:space="preserve">D.1.3  </w:t>
      </w:r>
      <w:r>
        <w:rPr>
          <w:lang w:eastAsia="ja-JP"/>
        </w:rPr>
        <w:t>Impact of ATG-TN BS antennas collocation</w:t>
      </w:r>
      <w:r>
        <w:tab/>
      </w:r>
      <w:r>
        <w:fldChar w:fldCharType="begin"/>
      </w:r>
      <w:r>
        <w:instrText xml:space="preserve"> PAGEREF _Toc7368 \h </w:instrText>
      </w:r>
      <w:r>
        <w:fldChar w:fldCharType="separate"/>
      </w:r>
      <w:r>
        <w:t>104</w:t>
      </w:r>
      <w:r>
        <w:fldChar w:fldCharType="end"/>
      </w:r>
      <w:r>
        <w:fldChar w:fldCharType="end"/>
      </w:r>
    </w:p>
    <w:p>
      <w:pPr>
        <w:pStyle w:val="21"/>
        <w:tabs>
          <w:tab w:val="right" w:leader="dot" w:pos="9641"/>
          <w:tab w:val="clear" w:pos="9639"/>
        </w:tabs>
      </w:pPr>
      <w:r>
        <w:fldChar w:fldCharType="begin"/>
      </w:r>
      <w:r>
        <w:instrText xml:space="preserve"> HYPERLINK \l _Toc5280 </w:instrText>
      </w:r>
      <w:r>
        <w:fldChar w:fldCharType="separate"/>
      </w:r>
      <w:r>
        <w:rPr>
          <w:lang w:val="en-IN" w:eastAsia="ja-JP"/>
        </w:rPr>
        <w:t xml:space="preserve">D.1.4  </w:t>
      </w:r>
      <w:r>
        <w:rPr>
          <w:lang w:eastAsia="ja-JP"/>
        </w:rPr>
        <w:t>Impact of ATG UE height distribution</w:t>
      </w:r>
      <w:r>
        <w:tab/>
      </w:r>
      <w:r>
        <w:fldChar w:fldCharType="begin"/>
      </w:r>
      <w:r>
        <w:instrText xml:space="preserve"> PAGEREF _Toc5280 \h </w:instrText>
      </w:r>
      <w:r>
        <w:fldChar w:fldCharType="separate"/>
      </w:r>
      <w:r>
        <w:t>105</w:t>
      </w:r>
      <w:r>
        <w:fldChar w:fldCharType="end"/>
      </w:r>
      <w:r>
        <w:fldChar w:fldCharType="end"/>
      </w:r>
    </w:p>
    <w:p>
      <w:pPr>
        <w:pStyle w:val="21"/>
        <w:tabs>
          <w:tab w:val="right" w:leader="dot" w:pos="9641"/>
          <w:tab w:val="clear" w:pos="9639"/>
        </w:tabs>
      </w:pPr>
      <w:r>
        <w:fldChar w:fldCharType="begin"/>
      </w:r>
      <w:r>
        <w:instrText xml:space="preserve"> HYPERLINK \l _Toc16674 </w:instrText>
      </w:r>
      <w:r>
        <w:fldChar w:fldCharType="separate"/>
      </w:r>
      <w:r>
        <w:rPr>
          <w:rFonts w:hint="eastAsia" w:eastAsia="Times New Roman"/>
          <w:lang w:eastAsia="zh-CN"/>
        </w:rPr>
        <w:t xml:space="preserve">Annex </w:t>
      </w:r>
      <w:r>
        <w:rPr>
          <w:rFonts w:hint="eastAsia" w:eastAsia="Times New Roman"/>
          <w:lang w:val="en-US" w:eastAsia="zh-CN"/>
        </w:rPr>
        <w:t>E</w:t>
      </w:r>
      <w:r>
        <w:rPr>
          <w:rFonts w:hint="eastAsia" w:eastAsia="Times New Roman"/>
          <w:lang w:eastAsia="zh-CN"/>
        </w:rPr>
        <w:t>: Change history</w:t>
      </w:r>
      <w:r>
        <w:tab/>
      </w:r>
      <w:r>
        <w:fldChar w:fldCharType="begin"/>
      </w:r>
      <w:r>
        <w:instrText xml:space="preserve"> PAGEREF _Toc16674 \h </w:instrText>
      </w:r>
      <w:r>
        <w:fldChar w:fldCharType="separate"/>
      </w:r>
      <w:r>
        <w:t>107</w:t>
      </w:r>
      <w:r>
        <w:fldChar w:fldCharType="end"/>
      </w:r>
      <w:r>
        <w:fldChar w:fldCharType="end"/>
      </w:r>
    </w:p>
    <w:p>
      <w:r>
        <w:fldChar w:fldCharType="end"/>
      </w:r>
    </w:p>
    <w:p>
      <w:pPr>
        <w:pStyle w:val="2"/>
      </w:pPr>
      <w:r>
        <w:br w:type="page"/>
      </w:r>
      <w:bookmarkStart w:id="3" w:name="_Toc4368"/>
      <w:bookmarkStart w:id="4" w:name="_Toc4012"/>
      <w:bookmarkStart w:id="5" w:name="_Toc6217"/>
      <w:bookmarkStart w:id="6" w:name="_Toc133498111"/>
      <w:bookmarkStart w:id="7" w:name="_Toc473553993"/>
      <w:bookmarkStart w:id="8" w:name="_Toc5871"/>
      <w:bookmarkStart w:id="9" w:name="_Toc15410"/>
      <w:bookmarkStart w:id="10" w:name="_Toc26730"/>
      <w:bookmarkStart w:id="11" w:name="_Toc12171"/>
      <w:bookmarkStart w:id="12" w:name="_Toc24577"/>
      <w:bookmarkStart w:id="13" w:name="_Toc9458"/>
      <w:r>
        <w:t>Foreword</w:t>
      </w:r>
      <w:bookmarkEnd w:id="3"/>
      <w:bookmarkEnd w:id="4"/>
      <w:bookmarkEnd w:id="5"/>
      <w:bookmarkEnd w:id="6"/>
      <w:bookmarkEnd w:id="7"/>
      <w:bookmarkEnd w:id="8"/>
      <w:bookmarkEnd w:id="9"/>
      <w:bookmarkEnd w:id="10"/>
      <w:bookmarkEnd w:id="11"/>
      <w:bookmarkEnd w:id="12"/>
      <w:bookmarkEnd w:id="13"/>
    </w:p>
    <w:p>
      <w:r>
        <w:t>This Technical Report has been produced by the 3</w:t>
      </w:r>
      <w:r>
        <w:rPr>
          <w:vertAlign w:val="superscript"/>
        </w:rPr>
        <w:t>rd</w:t>
      </w:r>
      <w:r>
        <w:t xml:space="preserve">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74"/>
      </w:pPr>
      <w:r>
        <w:t>Version x.y.z</w:t>
      </w:r>
    </w:p>
    <w:p>
      <w:pPr>
        <w:pStyle w:val="74"/>
      </w:pPr>
      <w:r>
        <w:t>where:</w:t>
      </w:r>
    </w:p>
    <w:p>
      <w:pPr>
        <w:pStyle w:val="85"/>
      </w:pPr>
      <w:r>
        <w:t>x</w:t>
      </w:r>
      <w:r>
        <w:tab/>
      </w:r>
      <w:r>
        <w:t>the first digit:</w:t>
      </w:r>
    </w:p>
    <w:p>
      <w:pPr>
        <w:pStyle w:val="86"/>
      </w:pPr>
      <w:r>
        <w:t>1</w:t>
      </w:r>
      <w:r>
        <w:tab/>
      </w:r>
      <w:r>
        <w:t>presented to TSG for information;</w:t>
      </w:r>
    </w:p>
    <w:p>
      <w:pPr>
        <w:pStyle w:val="86"/>
      </w:pPr>
      <w:r>
        <w:t>2</w:t>
      </w:r>
      <w:r>
        <w:tab/>
      </w:r>
      <w:r>
        <w:t>presented to TSG for approval;</w:t>
      </w:r>
    </w:p>
    <w:p>
      <w:pPr>
        <w:pStyle w:val="86"/>
      </w:pPr>
      <w:r>
        <w:t>3</w:t>
      </w:r>
      <w:r>
        <w:tab/>
      </w:r>
      <w:r>
        <w:t>or greater indicates TSG approved document under change control.</w:t>
      </w:r>
    </w:p>
    <w:p>
      <w:pPr>
        <w:pStyle w:val="85"/>
      </w:pPr>
      <w:r>
        <w:t>y</w:t>
      </w:r>
      <w:r>
        <w:tab/>
      </w:r>
      <w:r>
        <w:t>the second digit is incremented for all changes of substance, i.e. technical enhancements, corrections, updates, etc.</w:t>
      </w:r>
    </w:p>
    <w:p>
      <w:pPr>
        <w:pStyle w:val="85"/>
      </w:pPr>
      <w:r>
        <w:t>z</w:t>
      </w:r>
      <w:r>
        <w:tab/>
      </w:r>
      <w:r>
        <w:t>the third digit is incremented when editorial only changes have been incorporated in the document.</w:t>
      </w:r>
    </w:p>
    <w:p>
      <w:pPr>
        <w:rPr>
          <w:rFonts w:eastAsia="宋体"/>
          <w:lang w:val="en-US" w:eastAsia="zh-CN"/>
        </w:rPr>
      </w:pPr>
      <w:r>
        <w:br w:type="page"/>
      </w:r>
    </w:p>
    <w:p>
      <w:pPr>
        <w:pStyle w:val="2"/>
        <w:bidi w:val="0"/>
        <w:rPr>
          <w:rFonts w:hint="default"/>
          <w:lang w:val="en-US" w:eastAsia="zh-CN"/>
        </w:rPr>
      </w:pPr>
      <w:bookmarkStart w:id="14" w:name="_Toc4292"/>
      <w:r>
        <w:rPr>
          <w:rFonts w:hint="eastAsia"/>
          <w:lang w:val="en-US" w:eastAsia="zh-CN"/>
        </w:rPr>
        <w:t>1</w:t>
      </w:r>
      <w:r>
        <w:rPr>
          <w:rFonts w:hint="eastAsia"/>
          <w:lang w:val="en-US" w:eastAsia="zh-CN"/>
        </w:rPr>
        <w:tab/>
        <w:t>Scope</w:t>
      </w:r>
      <w:bookmarkEnd w:id="14"/>
    </w:p>
    <w:p>
      <w:r>
        <w:t>The present document covers the RF</w:t>
      </w:r>
      <w:r>
        <w:rPr>
          <w:rFonts w:hint="eastAsia" w:eastAsia="宋体"/>
          <w:lang w:val="en-US" w:eastAsia="zh-CN"/>
        </w:rPr>
        <w:t>, RRM</w:t>
      </w:r>
      <w:r>
        <w:t xml:space="preserve"> and co-existence aspects of the work item “Air-to-ground network for NR” [2]</w:t>
      </w:r>
    </w:p>
    <w:p>
      <w:r>
        <w:t xml:space="preserve">The objectives for the study are the following: </w:t>
      </w:r>
    </w:p>
    <w:p>
      <w:pPr>
        <w:ind w:left="568" w:hanging="284"/>
      </w:pPr>
      <w:r>
        <w:t>-</w:t>
      </w:r>
      <w:r>
        <w:tab/>
      </w:r>
      <w:r>
        <w:t>Study and evaluate adjacent channel co-existence for ATG scenarios.</w:t>
      </w:r>
    </w:p>
    <w:p>
      <w:pPr>
        <w:ind w:left="568" w:hanging="284"/>
      </w:pPr>
      <w:r>
        <w:t>-</w:t>
      </w:r>
      <w:r>
        <w:tab/>
      </w:r>
      <w:r>
        <w:t xml:space="preserve">Study and specify RF core requirements for ATG network and the ATG UE such that ATG deployment are well supported. </w:t>
      </w:r>
    </w:p>
    <w:p>
      <w:pPr>
        <w:ind w:left="568" w:hanging="284"/>
      </w:pPr>
      <w:r>
        <w:t>-</w:t>
      </w:r>
      <w:r>
        <w:tab/>
      </w:r>
      <w:r>
        <w:t>Study and specify RRM requirement supporting ATG network deployment and ATG UE mobility</w:t>
      </w:r>
    </w:p>
    <w:p>
      <w:pPr>
        <w:rPr>
          <w:lang w:eastAsia="zh-CN"/>
        </w:rPr>
      </w:pPr>
    </w:p>
    <w:p>
      <w:pPr>
        <w:pStyle w:val="2"/>
        <w:bidi w:val="0"/>
        <w:rPr>
          <w:lang w:eastAsia="zh-CN"/>
        </w:rPr>
      </w:pPr>
      <w:bookmarkStart w:id="15" w:name="_Toc473553995"/>
      <w:bookmarkStart w:id="16" w:name="_Toc24143"/>
      <w:bookmarkStart w:id="17" w:name="_Toc133498113"/>
      <w:bookmarkStart w:id="18" w:name="_Toc6256"/>
      <w:bookmarkStart w:id="19" w:name="_Toc22425"/>
      <w:bookmarkStart w:id="20" w:name="_Toc25082"/>
      <w:bookmarkStart w:id="21" w:name="_Toc11207"/>
      <w:bookmarkStart w:id="22" w:name="_Toc8243"/>
      <w:bookmarkStart w:id="23" w:name="_Toc7782"/>
      <w:bookmarkStart w:id="24" w:name="_Toc16330"/>
      <w:bookmarkStart w:id="25" w:name="_Toc11172"/>
      <w:r>
        <w:rPr>
          <w:lang w:eastAsia="zh-CN"/>
        </w:rPr>
        <w:t>2</w:t>
      </w:r>
      <w:r>
        <w:rPr>
          <w:rFonts w:hint="eastAsia"/>
          <w:lang w:val="en-US" w:eastAsia="zh-CN"/>
        </w:rPr>
        <w:tab/>
      </w:r>
      <w:r>
        <w:rPr>
          <w:lang w:eastAsia="zh-CN"/>
        </w:rPr>
        <w:t>References</w:t>
      </w:r>
      <w:bookmarkEnd w:id="15"/>
      <w:bookmarkEnd w:id="16"/>
      <w:bookmarkEnd w:id="17"/>
      <w:bookmarkEnd w:id="18"/>
      <w:bookmarkEnd w:id="19"/>
      <w:bookmarkEnd w:id="20"/>
      <w:bookmarkEnd w:id="21"/>
      <w:bookmarkEnd w:id="22"/>
      <w:bookmarkEnd w:id="23"/>
      <w:bookmarkEnd w:id="24"/>
      <w:bookmarkEnd w:id="25"/>
    </w:p>
    <w:p>
      <w:r>
        <w:t>The following documents contain provisions which, through reference in this text, constitute provisions of the present document.</w:t>
      </w:r>
    </w:p>
    <w:p>
      <w:pPr>
        <w:ind w:left="568" w:hanging="284"/>
      </w:pPr>
      <w:r>
        <w:t>-</w:t>
      </w:r>
      <w:r>
        <w:tab/>
      </w:r>
      <w:r>
        <w:t>References are either specific (identified by date of publication, edition number, version number, etc.) or non</w:t>
      </w:r>
      <w:r>
        <w:noBreakHyphen/>
      </w:r>
      <w:r>
        <w:t>specific.</w:t>
      </w:r>
    </w:p>
    <w:p>
      <w:pPr>
        <w:ind w:left="568" w:hanging="284"/>
      </w:pPr>
      <w:r>
        <w:t>-</w:t>
      </w:r>
      <w:r>
        <w:tab/>
      </w:r>
      <w:r>
        <w:t>For a specific reference, subsequent revisions do not apply.</w:t>
      </w:r>
    </w:p>
    <w:p>
      <w:pPr>
        <w:ind w:left="568" w:hanging="284"/>
      </w:pPr>
      <w:r>
        <w:t>-</w:t>
      </w:r>
      <w: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pPr>
        <w:keepLines/>
        <w:ind w:left="1702" w:hanging="1418"/>
      </w:pPr>
      <w:r>
        <w:t>[1]</w:t>
      </w:r>
      <w:r>
        <w:tab/>
      </w:r>
      <w:r>
        <w:t>3GPP TR 21.905: "Vocabulary for 3GPP Specifications".</w:t>
      </w:r>
    </w:p>
    <w:p>
      <w:pPr>
        <w:keepLines/>
        <w:ind w:left="1702" w:hanging="1418"/>
      </w:pPr>
      <w:r>
        <w:t>[2]</w:t>
      </w:r>
      <w:r>
        <w:tab/>
      </w:r>
      <w:r>
        <w:t xml:space="preserve">RP-230279, </w:t>
      </w:r>
      <w:r>
        <w:rPr>
          <w:rFonts w:hint="eastAsia"/>
        </w:rPr>
        <w:t>Air-to-ground network for NR</w:t>
      </w:r>
      <w:r>
        <w:t>, CMCC</w:t>
      </w:r>
    </w:p>
    <w:p>
      <w:pPr>
        <w:keepLines/>
        <w:spacing w:after="0"/>
        <w:ind w:left="1702" w:hanging="1418"/>
      </w:pPr>
      <w:r>
        <w:t>[3]</w:t>
      </w:r>
      <w:r>
        <w:tab/>
      </w:r>
      <w:r>
        <w:tab/>
      </w:r>
      <w:r>
        <w:t>ERC Recommendation 74-01: "Unwanted emissions in the spurious domain".</w:t>
      </w:r>
    </w:p>
    <w:p>
      <w:pPr>
        <w:keepLines/>
        <w:spacing w:after="0"/>
        <w:ind w:left="1702" w:hanging="1418"/>
      </w:pPr>
      <w:r>
        <w:t>[4]</w:t>
      </w:r>
      <w:r>
        <w:tab/>
      </w:r>
      <w:r>
        <w:t>3GPP TS 38.101-1: “NR; User Equipment (UE) radio transmission and reception; Part 1: Range 1 Standalone”.</w:t>
      </w:r>
    </w:p>
    <w:p>
      <w:pPr>
        <w:keepLines/>
        <w:spacing w:after="0"/>
        <w:ind w:left="1702" w:hanging="1418"/>
      </w:pPr>
      <w:r>
        <w:t>[5]</w:t>
      </w:r>
      <w:r>
        <w:tab/>
      </w:r>
      <w:r>
        <w:t>3GPP TS 38.104: “NR; Base Station (BS) radio transmission and reception”.</w:t>
      </w:r>
    </w:p>
    <w:p>
      <w:pPr>
        <w:pStyle w:val="70"/>
        <w:rPr>
          <w:rFonts w:eastAsia="等线"/>
          <w:sz w:val="21"/>
        </w:rPr>
      </w:pPr>
      <w:r>
        <w:rPr>
          <w:lang w:eastAsia="en-US"/>
        </w:rPr>
        <w:t>[</w:t>
      </w:r>
      <w:r>
        <w:rPr>
          <w:rFonts w:hint="eastAsia" w:eastAsia="宋体"/>
          <w:lang w:val="en-US" w:eastAsia="zh-CN"/>
        </w:rPr>
        <w:t>6</w:t>
      </w:r>
      <w:r>
        <w:rPr>
          <w:lang w:eastAsia="en-US"/>
        </w:rPr>
        <w:t>]</w:t>
      </w:r>
      <w:r>
        <w:rPr>
          <w:lang w:eastAsia="en-US"/>
        </w:rPr>
        <w:tab/>
      </w:r>
      <w:r>
        <w:rPr>
          <w:lang w:eastAsia="en-US"/>
        </w:rPr>
        <w:t xml:space="preserve">R4-2308745, </w:t>
      </w:r>
      <w:r>
        <w:rPr>
          <w:rFonts w:eastAsia="等线"/>
          <w:sz w:val="21"/>
        </w:rPr>
        <w:t>Discussion on ATG UE RF Tx requirements, Ericsson</w:t>
      </w:r>
    </w:p>
    <w:p>
      <w:pPr>
        <w:pStyle w:val="70"/>
        <w:rPr>
          <w:rFonts w:eastAsia="等线"/>
          <w:sz w:val="21"/>
          <w:lang w:val="en-US" w:eastAsia="zh-CN"/>
        </w:rPr>
      </w:pPr>
      <w:r>
        <w:rPr>
          <w:rFonts w:hint="eastAsia" w:eastAsia="等线"/>
          <w:sz w:val="21"/>
          <w:lang w:val="en-US" w:eastAsia="zh-CN"/>
        </w:rPr>
        <w:t>[7]</w:t>
      </w:r>
      <w:r>
        <w:rPr>
          <w:rFonts w:hint="eastAsia" w:eastAsia="等线"/>
          <w:sz w:val="21"/>
          <w:lang w:val="en-US" w:eastAsia="zh-CN"/>
        </w:rPr>
        <w:tab/>
      </w:r>
      <w:bookmarkStart w:id="26" w:name="specTitle"/>
      <w:r>
        <w:t>3GPP TS 38.101-</w:t>
      </w:r>
      <w:r>
        <w:rPr>
          <w:rFonts w:hint="eastAsia" w:eastAsia="宋体"/>
          <w:lang w:val="en-US" w:eastAsia="zh-CN"/>
        </w:rPr>
        <w:t>5</w:t>
      </w:r>
      <w:r>
        <w:t xml:space="preserve">: </w:t>
      </w:r>
      <w:r>
        <w:rPr>
          <w:rFonts w:hint="eastAsia" w:eastAsia="宋体"/>
          <w:lang w:val="en-US" w:eastAsia="zh-CN"/>
        </w:rPr>
        <w:t xml:space="preserve"> </w:t>
      </w:r>
      <w:r>
        <w:rPr>
          <w:rFonts w:eastAsia="宋体"/>
          <w:lang w:val="en-US" w:eastAsia="zh-CN"/>
        </w:rPr>
        <w:t>“</w:t>
      </w:r>
      <w:r>
        <w:rPr>
          <w:rFonts w:hint="eastAsia" w:eastAsia="等线"/>
          <w:sz w:val="21"/>
          <w:lang w:val="en-US" w:eastAsia="zh-CN"/>
        </w:rPr>
        <w:t>NR; User Equipment (UE) radio transmission and reception; Part 5: Satellite access Radio Frequency (RF) and performance requirements</w:t>
      </w:r>
      <w:r>
        <w:rPr>
          <w:rFonts w:eastAsia="等线"/>
          <w:sz w:val="21"/>
          <w:lang w:val="en-US" w:eastAsia="zh-CN"/>
        </w:rPr>
        <w:t>”</w:t>
      </w:r>
      <w:r>
        <w:rPr>
          <w:rFonts w:hint="eastAsia" w:eastAsia="等线"/>
          <w:sz w:val="21"/>
          <w:lang w:val="en-US" w:eastAsia="zh-CN"/>
        </w:rPr>
        <w:t xml:space="preserve">. </w:t>
      </w:r>
      <w:bookmarkEnd w:id="26"/>
    </w:p>
    <w:p>
      <w:pPr>
        <w:pStyle w:val="70"/>
        <w:rPr>
          <w:rFonts w:eastAsia="等线"/>
          <w:sz w:val="21"/>
          <w:lang w:val="en-US" w:eastAsia="zh-CN"/>
        </w:rPr>
      </w:pPr>
      <w:r>
        <w:rPr>
          <w:rFonts w:hint="eastAsia" w:eastAsia="等线"/>
          <w:sz w:val="21"/>
          <w:lang w:val="en-US" w:eastAsia="zh-CN"/>
        </w:rPr>
        <w:t>[</w:t>
      </w:r>
      <w:r>
        <w:rPr>
          <w:rFonts w:eastAsia="等线"/>
          <w:sz w:val="21"/>
          <w:lang w:val="en-US" w:eastAsia="zh-CN"/>
        </w:rPr>
        <w:t>8</w:t>
      </w:r>
      <w:r>
        <w:rPr>
          <w:rFonts w:hint="eastAsia" w:eastAsia="等线"/>
          <w:sz w:val="21"/>
          <w:lang w:val="en-US" w:eastAsia="zh-CN"/>
        </w:rPr>
        <w:t>]</w:t>
      </w:r>
      <w:r>
        <w:rPr>
          <w:rFonts w:hint="eastAsia" w:eastAsia="等线"/>
          <w:sz w:val="21"/>
          <w:lang w:val="en-US" w:eastAsia="zh-CN"/>
        </w:rPr>
        <w:tab/>
      </w:r>
      <w:r>
        <w:rPr>
          <w:rFonts w:eastAsia="等线"/>
          <w:sz w:val="21"/>
          <w:lang w:val="en-US" w:eastAsia="zh-CN"/>
        </w:rPr>
        <w:t xml:space="preserve">ITU-R M.2059-0: </w:t>
      </w:r>
      <w:r>
        <w:rPr>
          <w:rFonts w:hint="eastAsia" w:eastAsia="等线"/>
          <w:sz w:val="21"/>
          <w:lang w:val="en-US" w:eastAsia="zh-CN"/>
        </w:rPr>
        <w:t xml:space="preserve"> </w:t>
      </w:r>
      <w:r>
        <w:rPr>
          <w:rFonts w:eastAsia="等线"/>
          <w:sz w:val="21"/>
          <w:lang w:val="en-US" w:eastAsia="zh-CN"/>
        </w:rPr>
        <w:t>“Operational and technical characteristics and protection criteria of radio altimeters utilizing the band 4 200-4 400 MHz”</w:t>
      </w:r>
      <w:r>
        <w:rPr>
          <w:rFonts w:hint="eastAsia" w:eastAsia="等线"/>
          <w:sz w:val="21"/>
          <w:lang w:val="en-US" w:eastAsia="zh-CN"/>
        </w:rPr>
        <w:t>.</w:t>
      </w:r>
    </w:p>
    <w:p>
      <w:pPr>
        <w:pStyle w:val="70"/>
        <w:rPr>
          <w:rFonts w:eastAsia="等线"/>
          <w:sz w:val="21"/>
          <w:lang w:val="en-US" w:eastAsia="zh-CN"/>
        </w:rPr>
      </w:pPr>
    </w:p>
    <w:p>
      <w:pPr>
        <w:keepLines/>
        <w:ind w:left="1702" w:hanging="1418"/>
      </w:pPr>
    </w:p>
    <w:p>
      <w:pPr>
        <w:keepLines/>
        <w:ind w:left="1702" w:hanging="1418"/>
      </w:pPr>
      <w:r>
        <w:t>…</w:t>
      </w:r>
    </w:p>
    <w:p>
      <w:pPr>
        <w:keepLines/>
        <w:ind w:left="1702" w:hanging="1418"/>
      </w:pPr>
      <w:r>
        <w:t>[x]</w:t>
      </w:r>
      <w:r>
        <w:tab/>
      </w:r>
      <w:r>
        <w:t>&lt;doctype&gt; &lt;#&gt;[ ([up to and including]{yyyy[-mm]|V&lt;a[.b[.c]]&gt;}[onwards])]: "&lt;Title&gt;".</w:t>
      </w:r>
    </w:p>
    <w:p>
      <w:pPr>
        <w:keepLines/>
        <w:ind w:left="1702" w:hanging="1418"/>
        <w:rPr>
          <w:lang w:eastAsia="zh-CN"/>
        </w:rPr>
      </w:pPr>
    </w:p>
    <w:p>
      <w:pPr>
        <w:pStyle w:val="2"/>
        <w:rPr>
          <w:lang w:eastAsia="zh-CN"/>
        </w:rPr>
      </w:pPr>
      <w:bookmarkStart w:id="27" w:name="_Toc133498114"/>
      <w:bookmarkStart w:id="28" w:name="_Toc4257"/>
      <w:bookmarkStart w:id="29" w:name="_Toc14938"/>
      <w:bookmarkStart w:id="30" w:name="_Toc481653278"/>
      <w:bookmarkStart w:id="31" w:name="_Toc18880"/>
      <w:bookmarkStart w:id="32" w:name="_Toc166"/>
      <w:bookmarkStart w:id="33" w:name="_Toc6145"/>
      <w:bookmarkStart w:id="34" w:name="_Toc19750"/>
      <w:bookmarkStart w:id="35" w:name="_Toc23564"/>
      <w:bookmarkStart w:id="36" w:name="_Toc29566"/>
      <w:bookmarkStart w:id="37" w:name="_Toc29553"/>
      <w:bookmarkStart w:id="38" w:name="_Toc473553999"/>
      <w:r>
        <w:rPr>
          <w:lang w:eastAsia="zh-CN"/>
        </w:rPr>
        <w:t>3</w:t>
      </w:r>
      <w:r>
        <w:rPr>
          <w:rFonts w:hint="eastAsia"/>
          <w:lang w:val="en-US" w:eastAsia="zh-CN"/>
        </w:rPr>
        <w:tab/>
      </w:r>
      <w:r>
        <w:rPr>
          <w:lang w:eastAsia="zh-CN"/>
        </w:rPr>
        <w:t>Definitions, symbols and abbreviations</w:t>
      </w:r>
      <w:bookmarkEnd w:id="27"/>
      <w:bookmarkEnd w:id="28"/>
      <w:bookmarkEnd w:id="29"/>
      <w:bookmarkEnd w:id="30"/>
      <w:bookmarkEnd w:id="31"/>
      <w:bookmarkEnd w:id="32"/>
      <w:bookmarkEnd w:id="33"/>
      <w:bookmarkEnd w:id="34"/>
      <w:bookmarkEnd w:id="35"/>
      <w:bookmarkEnd w:id="36"/>
      <w:bookmarkEnd w:id="37"/>
    </w:p>
    <w:p>
      <w:pPr>
        <w:pStyle w:val="3"/>
        <w:bidi w:val="0"/>
        <w:rPr>
          <w:rFonts w:hint="default"/>
          <w:lang w:val="en-US" w:eastAsia="zh-CN"/>
        </w:rPr>
      </w:pPr>
      <w:bookmarkStart w:id="39" w:name="_Toc30831"/>
      <w:r>
        <w:rPr>
          <w:rFonts w:hint="eastAsia"/>
          <w:lang w:val="en-US" w:eastAsia="zh-CN"/>
        </w:rPr>
        <w:t>3.1</w:t>
      </w:r>
      <w:r>
        <w:rPr>
          <w:rFonts w:hint="eastAsia"/>
          <w:lang w:val="en-US" w:eastAsia="zh-CN"/>
        </w:rPr>
        <w:tab/>
      </w:r>
      <w:r>
        <w:t>Definitions</w:t>
      </w:r>
      <w:bookmarkEnd w:id="39"/>
    </w:p>
    <w:p>
      <w:r>
        <w:t xml:space="preserve">For the purposes of the present document, the terms and definitions given in </w:t>
      </w:r>
      <w:bookmarkStart w:id="40" w:name="OLE_LINK7"/>
      <w:bookmarkStart w:id="41" w:name="OLE_LINK6"/>
      <w:bookmarkStart w:id="42" w:name="OLE_LINK8"/>
      <w:r>
        <w:t xml:space="preserve">3GPP </w:t>
      </w:r>
      <w:bookmarkEnd w:id="40"/>
      <w:bookmarkEnd w:id="41"/>
      <w:bookmarkEnd w:id="42"/>
      <w:r>
        <w:t>TR 21.905 [1] and the following apply. A term defined in the present document takes precedence over the definition of the same term, if any, in 3GPP TR 21.905 [1].</w:t>
      </w:r>
    </w:p>
    <w:p>
      <w:pPr>
        <w:rPr>
          <w:b/>
        </w:rPr>
      </w:pPr>
      <w:r>
        <w:rPr>
          <w:b/>
        </w:rPr>
        <w:t xml:space="preserve">ATG UE: </w:t>
      </w:r>
      <w:r>
        <w:rPr>
          <w:b w:val="0"/>
          <w:bCs/>
        </w:rPr>
        <w:t>a UE mounted on an aircraft</w:t>
      </w:r>
    </w:p>
    <w:p>
      <w:r>
        <w:rPr>
          <w:b/>
        </w:rPr>
        <w:t>TAB connector:</w:t>
      </w:r>
      <w:r>
        <w:t xml:space="preserve"> </w:t>
      </w:r>
      <w:r>
        <w:rPr>
          <w:i/>
        </w:rPr>
        <w:t>transceiver array boundary</w:t>
      </w:r>
      <w:r>
        <w:t xml:space="preserve"> connector</w:t>
      </w:r>
    </w:p>
    <w:p>
      <w:pPr>
        <w:rPr>
          <w:rFonts w:eastAsia="宋体" w:cs="v5.0.0"/>
          <w:bCs/>
        </w:rPr>
      </w:pPr>
      <w:r>
        <w:rPr>
          <w:rFonts w:eastAsia="宋体" w:cs="v5.0.0"/>
          <w:b/>
          <w:bCs/>
        </w:rPr>
        <w:t>TRP (total radiated power):</w:t>
      </w:r>
      <w:r>
        <w:rPr>
          <w:rFonts w:eastAsia="宋体" w:cs="v5.0.0"/>
          <w:bCs/>
        </w:rPr>
        <w:t xml:space="preserve"> the total power radiated by the antenna</w:t>
      </w:r>
    </w:p>
    <w:p>
      <w:pPr>
        <w:pStyle w:val="63"/>
        <w:rPr>
          <w:rFonts w:eastAsia="宋体"/>
        </w:rPr>
      </w:pPr>
      <w:r>
        <w:rPr>
          <w:rFonts w:eastAsia="宋体"/>
        </w:rPr>
        <w:t>NOTE:</w:t>
      </w:r>
      <w:r>
        <w:rPr>
          <w:rFonts w:eastAsia="宋体"/>
        </w:rPr>
        <w:tab/>
      </w:r>
      <w:r>
        <w:rPr>
          <w:rFonts w:eastAsia="宋体"/>
        </w:rPr>
        <w:t xml:space="preserve">The </w:t>
      </w:r>
      <w:r>
        <w:rPr>
          <w:rFonts w:eastAsia="宋体"/>
          <w:i/>
        </w:rPr>
        <w:t>total radiated power</w:t>
      </w:r>
      <w:r>
        <w:rPr>
          <w:rFonts w:eastAsia="宋体"/>
        </w:rPr>
        <w:t xml:space="preserve"> is the power radiating in all direction for two orthogonal polarizations</w:t>
      </w:r>
    </w:p>
    <w:p>
      <w:r>
        <w:rPr>
          <w:b/>
        </w:rPr>
        <w:t>RX beam peak direction</w:t>
      </w:r>
      <w:r>
        <w:t>: direction where the maximum total component of RSRP and thus best total component of EIS is found</w:t>
      </w:r>
    </w:p>
    <w:p>
      <w:r>
        <w:rPr>
          <w:b/>
        </w:rPr>
        <w:t>TX beam peak direction:</w:t>
      </w:r>
      <w:r>
        <w:t xml:space="preserve"> direction where the maximum total component of EIRP is found</w:t>
      </w:r>
    </w:p>
    <w:p>
      <w:pPr>
        <w:pStyle w:val="3"/>
        <w:bidi w:val="0"/>
      </w:pPr>
      <w:bookmarkStart w:id="43" w:name="_Toc12335"/>
      <w:bookmarkStart w:id="44" w:name="_Toc481653280"/>
      <w:bookmarkStart w:id="45" w:name="_Toc12362"/>
      <w:bookmarkStart w:id="46" w:name="_Toc19872"/>
      <w:bookmarkStart w:id="47" w:name="_Toc133498116"/>
      <w:bookmarkStart w:id="48" w:name="_Toc743"/>
      <w:bookmarkStart w:id="49" w:name="_Toc4484"/>
      <w:bookmarkStart w:id="50" w:name="_Toc21578"/>
      <w:bookmarkStart w:id="51" w:name="_Toc31600"/>
      <w:bookmarkStart w:id="52" w:name="_Toc3682"/>
      <w:bookmarkStart w:id="53" w:name="_Toc9008"/>
      <w:r>
        <w:t>3.2</w:t>
      </w:r>
      <w:r>
        <w:rPr>
          <w:rFonts w:hint="eastAsia" w:eastAsia="宋体"/>
          <w:lang w:val="en-US" w:eastAsia="zh-CN"/>
        </w:rPr>
        <w:tab/>
      </w:r>
      <w:r>
        <w:t>Symbols</w:t>
      </w:r>
      <w:bookmarkEnd w:id="43"/>
      <w:bookmarkEnd w:id="44"/>
      <w:bookmarkEnd w:id="45"/>
      <w:bookmarkEnd w:id="46"/>
      <w:bookmarkEnd w:id="47"/>
      <w:bookmarkEnd w:id="48"/>
      <w:bookmarkEnd w:id="49"/>
      <w:bookmarkEnd w:id="50"/>
      <w:bookmarkEnd w:id="51"/>
      <w:bookmarkEnd w:id="52"/>
      <w:bookmarkEnd w:id="53"/>
    </w:p>
    <w:p>
      <w:pPr>
        <w:keepNext/>
      </w:pPr>
      <w:r>
        <w:t>For the purposes of the present document, the following symbols apply:</w:t>
      </w:r>
    </w:p>
    <w:p>
      <w:pPr>
        <w:rPr>
          <w:rFonts w:eastAsia="MS Mincho"/>
          <w:i/>
        </w:rPr>
      </w:pPr>
      <w:r>
        <w:rPr>
          <w:rFonts w:eastAsia="MS Mincho"/>
          <w:i/>
        </w:rPr>
        <w:t>Symbol format (EW)</w:t>
      </w:r>
    </w:p>
    <w:p>
      <w:pPr>
        <w:keepLines/>
        <w:spacing w:after="0"/>
        <w:ind w:left="1702" w:hanging="1418"/>
      </w:pPr>
      <w:r>
        <w:t>&lt;symbol&gt;</w:t>
      </w:r>
      <w:r>
        <w:tab/>
      </w:r>
      <w:r>
        <w:t>&lt;Explanation&gt;</w:t>
      </w:r>
    </w:p>
    <w:p>
      <w:pPr>
        <w:keepLines/>
        <w:spacing w:after="0"/>
        <w:ind w:left="1702" w:hanging="1418"/>
      </w:pPr>
    </w:p>
    <w:p>
      <w:pPr>
        <w:pStyle w:val="3"/>
        <w:bidi w:val="0"/>
      </w:pPr>
      <w:bookmarkStart w:id="54" w:name="_Toc481653281"/>
      <w:bookmarkStart w:id="55" w:name="_Toc133498117"/>
      <w:bookmarkStart w:id="56" w:name="_Toc27528"/>
      <w:bookmarkStart w:id="57" w:name="_Toc11280"/>
      <w:bookmarkStart w:id="58" w:name="_Toc1993"/>
      <w:bookmarkStart w:id="59" w:name="_Toc21618"/>
      <w:bookmarkStart w:id="60" w:name="_Toc29851"/>
      <w:bookmarkStart w:id="61" w:name="_Toc28645"/>
      <w:bookmarkStart w:id="62" w:name="_Toc6057"/>
      <w:bookmarkStart w:id="63" w:name="_Toc9909"/>
      <w:bookmarkStart w:id="64" w:name="_Toc18670"/>
      <w:r>
        <w:t>3.3</w:t>
      </w:r>
      <w:r>
        <w:rPr>
          <w:rFonts w:hint="eastAsia" w:eastAsia="宋体"/>
          <w:lang w:val="en-US" w:eastAsia="zh-CN"/>
        </w:rPr>
        <w:tab/>
      </w:r>
      <w:r>
        <w:t>Abbreviations</w:t>
      </w:r>
      <w:bookmarkEnd w:id="54"/>
      <w:bookmarkEnd w:id="55"/>
      <w:bookmarkEnd w:id="56"/>
      <w:bookmarkEnd w:id="57"/>
      <w:bookmarkEnd w:id="58"/>
      <w:bookmarkEnd w:id="59"/>
      <w:bookmarkEnd w:id="60"/>
      <w:bookmarkEnd w:id="61"/>
      <w:bookmarkEnd w:id="62"/>
      <w:bookmarkEnd w:id="63"/>
      <w:bookmarkEnd w:id="64"/>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73"/>
      </w:pPr>
      <w:r>
        <w:rPr>
          <w:lang w:eastAsia="zh-CN"/>
        </w:rPr>
        <w:t>AA</w:t>
      </w:r>
      <w:r>
        <w:rPr>
          <w:lang w:eastAsia="zh-CN"/>
        </w:rPr>
        <w:tab/>
      </w:r>
      <w:r>
        <w:rPr>
          <w:lang w:eastAsia="zh-CN"/>
        </w:rPr>
        <w:t>Antenna Array</w:t>
      </w:r>
    </w:p>
    <w:p>
      <w:pPr>
        <w:pStyle w:val="73"/>
      </w:pPr>
      <w:r>
        <w:t>ATG</w:t>
      </w:r>
      <w:r>
        <w:tab/>
      </w:r>
      <w:r>
        <w:t>Air To Ground</w:t>
      </w:r>
    </w:p>
    <w:p>
      <w:pPr>
        <w:pStyle w:val="73"/>
      </w:pPr>
      <w:r>
        <w:t>EIRP</w:t>
      </w:r>
      <w:r>
        <w:tab/>
      </w:r>
      <w:r>
        <w:t>Effective Isotropic Radiated Power</w:t>
      </w:r>
    </w:p>
    <w:p>
      <w:pPr>
        <w:pStyle w:val="73"/>
      </w:pPr>
      <w:r>
        <w:t>RDN</w:t>
      </w:r>
      <w:r>
        <w:tab/>
      </w:r>
      <w:r>
        <w:t>Radio Distribution Network</w:t>
      </w:r>
    </w:p>
    <w:p>
      <w:pPr>
        <w:pStyle w:val="73"/>
      </w:pPr>
      <w:r>
        <w:t>TAB</w:t>
      </w:r>
      <w:r>
        <w:tab/>
      </w:r>
      <w:r>
        <w:t>Transceiver Array Boundary</w:t>
      </w:r>
    </w:p>
    <w:p>
      <w:pPr>
        <w:pStyle w:val="73"/>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pPr>
        <w:pStyle w:val="73"/>
      </w:pPr>
      <w:r>
        <w:t>TRP</w:t>
      </w:r>
      <w:r>
        <w:tab/>
      </w:r>
      <w:r>
        <w:t>Total Radiated Power</w:t>
      </w:r>
    </w:p>
    <w:p>
      <w:pPr>
        <w:pStyle w:val="2"/>
        <w:bidi w:val="0"/>
        <w:rPr>
          <w:lang w:eastAsia="zh-CN"/>
        </w:rPr>
      </w:pPr>
      <w:bookmarkStart w:id="65" w:name="_Toc29941"/>
      <w:bookmarkStart w:id="66" w:name="_Toc3043"/>
      <w:bookmarkStart w:id="67" w:name="_Toc31267"/>
      <w:bookmarkStart w:id="68" w:name="_Toc13765"/>
      <w:bookmarkStart w:id="69" w:name="_Toc133498118"/>
      <w:bookmarkStart w:id="70" w:name="_Toc26621"/>
      <w:bookmarkStart w:id="71" w:name="_Toc30380"/>
      <w:bookmarkStart w:id="72" w:name="_Toc2595"/>
      <w:bookmarkStart w:id="73" w:name="_Toc15833"/>
      <w:bookmarkStart w:id="74" w:name="_Toc11304"/>
      <w:r>
        <w:rPr>
          <w:lang w:eastAsia="zh-CN"/>
        </w:rPr>
        <w:t>4</w:t>
      </w:r>
      <w:r>
        <w:rPr>
          <w:rFonts w:hint="eastAsia"/>
          <w:lang w:val="en-US" w:eastAsia="zh-CN"/>
        </w:rPr>
        <w:tab/>
      </w:r>
      <w:r>
        <w:rPr>
          <w:lang w:eastAsia="zh-CN"/>
        </w:rPr>
        <w:t>Background</w:t>
      </w:r>
      <w:bookmarkEnd w:id="38"/>
      <w:bookmarkEnd w:id="65"/>
      <w:bookmarkEnd w:id="66"/>
      <w:bookmarkEnd w:id="67"/>
      <w:bookmarkEnd w:id="68"/>
      <w:bookmarkEnd w:id="69"/>
      <w:bookmarkEnd w:id="70"/>
      <w:bookmarkEnd w:id="71"/>
      <w:bookmarkEnd w:id="72"/>
      <w:bookmarkEnd w:id="73"/>
      <w:bookmarkEnd w:id="74"/>
    </w:p>
    <w:p>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pPr>
        <w:widowControl w:val="0"/>
        <w:spacing w:after="0"/>
        <w:rPr>
          <w:kern w:val="2"/>
          <w:lang w:val="en-US" w:eastAsia="zh-CN"/>
        </w:rPr>
      </w:pPr>
    </w:p>
    <w:p>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pPr>
        <w:pStyle w:val="74"/>
      </w:pPr>
      <w:r>
        <w:rPr>
          <w:b/>
          <w:bCs/>
        </w:rPr>
        <w:t>-</w:t>
      </w:r>
      <w:r>
        <w:rPr>
          <w:b/>
          <w:bCs/>
        </w:rPr>
        <w:tab/>
      </w:r>
      <w:r>
        <w:rPr>
          <w:b/>
          <w:bCs/>
        </w:rPr>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pPr>
        <w:pStyle w:val="74"/>
      </w:pPr>
      <w:r>
        <w:rPr>
          <w:b/>
          <w:bCs/>
        </w:rPr>
        <w:t>-</w:t>
      </w:r>
      <w:r>
        <w:rPr>
          <w:b/>
          <w:bCs/>
        </w:rPr>
        <w:tab/>
      </w:r>
      <w:r>
        <w:rPr>
          <w:b/>
          <w:bCs/>
        </w:rPr>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pPr>
        <w:pStyle w:val="74"/>
      </w:pPr>
      <w:r>
        <w:rPr>
          <w:b/>
          <w:bCs/>
        </w:rPr>
        <w:t>-</w:t>
      </w:r>
      <w:r>
        <w:rPr>
          <w:b/>
          <w:bCs/>
        </w:rPr>
        <w:tab/>
      </w:r>
      <w:r>
        <w:rPr>
          <w:b/>
          <w:bCs/>
        </w:rPr>
        <w:t>Much powerful on-board ATG terminal capacity:</w:t>
      </w:r>
      <w:r>
        <w:t xml:space="preserve"> On-board ATG terminal can be much powerful than normal terrestrial UE, e.g., with higher EIRP via much larger transmission power and/or much larger on-board antenna gain.</w:t>
      </w:r>
    </w:p>
    <w:p>
      <w:pPr>
        <w:pStyle w:val="2"/>
        <w:bidi w:val="0"/>
        <w:rPr>
          <w:lang w:eastAsia="zh-CN"/>
        </w:rPr>
      </w:pPr>
      <w:bookmarkStart w:id="75" w:name="_Toc473554000"/>
      <w:bookmarkStart w:id="76" w:name="_Toc32231"/>
      <w:bookmarkStart w:id="77" w:name="_Toc133498119"/>
      <w:bookmarkStart w:id="78" w:name="_Toc15141"/>
      <w:bookmarkStart w:id="79" w:name="_Toc10537"/>
      <w:bookmarkStart w:id="80" w:name="_Toc24085"/>
      <w:bookmarkStart w:id="81" w:name="_Toc6421"/>
      <w:bookmarkStart w:id="82" w:name="_Toc2364"/>
      <w:bookmarkStart w:id="83" w:name="_Toc1911"/>
      <w:bookmarkStart w:id="84" w:name="_Toc7384"/>
      <w:bookmarkStart w:id="85" w:name="_Toc29135"/>
      <w:r>
        <w:rPr>
          <w:lang w:eastAsia="zh-CN"/>
        </w:rPr>
        <w:t>5</w:t>
      </w:r>
      <w:bookmarkEnd w:id="75"/>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76"/>
      <w:bookmarkEnd w:id="77"/>
      <w:bookmarkEnd w:id="78"/>
      <w:bookmarkEnd w:id="79"/>
      <w:bookmarkEnd w:id="80"/>
      <w:bookmarkEnd w:id="81"/>
      <w:bookmarkEnd w:id="82"/>
      <w:bookmarkEnd w:id="83"/>
      <w:bookmarkEnd w:id="84"/>
      <w:bookmarkEnd w:id="85"/>
    </w:p>
    <w:p>
      <w:pPr>
        <w:pStyle w:val="100"/>
        <w:rPr>
          <w:rFonts w:eastAsia="MS Mincho"/>
          <w:iCs/>
          <w:kern w:val="2"/>
          <w:lang w:val="en-US" w:eastAsia="zh-CN"/>
        </w:rPr>
      </w:pPr>
      <w:r>
        <w:rPr>
          <w:i w:val="0"/>
          <w:iCs/>
          <w:color w:val="000000" w:themeColor="text1"/>
          <w:kern w:val="2"/>
          <w:lang w:val="en-US" w:eastAsia="zh-CN"/>
          <w14:textFill>
            <w14:solidFill>
              <w14:schemeClr w14:val="tx1"/>
            </w14:solidFill>
          </w14:textFill>
        </w:rPr>
        <w:t>ATG will operate within existing NR operating bands and does not need new bands. Depending on the operator’s request so far, the following NR bands are intended for ATG deployment in Rel-18. Other new band request for ATG deployment is not precluded in future.</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Style w:val="49"/>
        <w:tblW w:w="7737" w:type="dxa"/>
        <w:jc w:val="center"/>
        <w:tblLayout w:type="fixed"/>
        <w:tblCellMar>
          <w:top w:w="0" w:type="dxa"/>
          <w:left w:w="108" w:type="dxa"/>
          <w:bottom w:w="0" w:type="dxa"/>
          <w:right w:w="108" w:type="dxa"/>
        </w:tblCellMar>
      </w:tblPr>
      <w:tblGrid>
        <w:gridCol w:w="1161"/>
        <w:gridCol w:w="2715"/>
        <w:gridCol w:w="2953"/>
        <w:gridCol w:w="908"/>
      </w:tblGrid>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NR operating band</w:t>
            </w:r>
          </w:p>
        </w:tc>
        <w:tc>
          <w:tcPr>
            <w:tcW w:w="2715"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ype="textWrapping"/>
            </w:r>
            <w:r>
              <w:rPr>
                <w:rFonts w:eastAsia="MS Mincho"/>
                <w:b/>
                <w:sz w:val="18"/>
              </w:rPr>
              <w:t>BS receive / UE transmit</w:t>
            </w:r>
          </w:p>
          <w:p>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ype="textWrapping"/>
            </w:r>
            <w:r>
              <w:rPr>
                <w:rFonts w:eastAsia="MS Mincho"/>
                <w:b/>
                <w:sz w:val="18"/>
              </w:rPr>
              <w:t>BS transmit / UE receive</w:t>
            </w:r>
          </w:p>
          <w:p>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Duplex Mode</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1920 MHz – 1980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2110 MHz – 2170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1710 MHz – 1785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1805 MHz – 1880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n34</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n41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n78</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bl>
    <w:p>
      <w:pPr>
        <w:pStyle w:val="2"/>
        <w:rPr>
          <w:lang w:eastAsia="zh-CN"/>
        </w:rPr>
      </w:pPr>
      <w:bookmarkStart w:id="86" w:name="_Toc4753"/>
      <w:bookmarkStart w:id="87" w:name="_Toc133498120"/>
      <w:bookmarkStart w:id="88" w:name="_Toc3023"/>
      <w:bookmarkStart w:id="89" w:name="_Toc19932"/>
      <w:bookmarkStart w:id="90" w:name="_Toc20209"/>
      <w:bookmarkStart w:id="91" w:name="_Toc136"/>
      <w:bookmarkStart w:id="92" w:name="_Toc465"/>
      <w:bookmarkStart w:id="93" w:name="_Toc21157"/>
      <w:bookmarkStart w:id="94" w:name="_Toc18376"/>
      <w:bookmarkStart w:id="95" w:name="_Toc19655"/>
      <w:r>
        <w:rPr>
          <w:rFonts w:hint="eastAsia"/>
          <w:lang w:eastAsia="zh-CN"/>
        </w:rPr>
        <w:t>6</w:t>
      </w:r>
      <w:r>
        <w:tab/>
      </w:r>
      <w:r>
        <w:rPr>
          <w:rFonts w:hint="eastAsia"/>
          <w:lang w:eastAsia="zh-CN"/>
        </w:rPr>
        <w:t>Co-existence study</w:t>
      </w:r>
      <w:bookmarkEnd w:id="86"/>
      <w:bookmarkEnd w:id="87"/>
      <w:bookmarkEnd w:id="88"/>
      <w:bookmarkEnd w:id="89"/>
      <w:bookmarkEnd w:id="90"/>
      <w:bookmarkEnd w:id="91"/>
      <w:bookmarkEnd w:id="92"/>
      <w:bookmarkEnd w:id="93"/>
      <w:bookmarkEnd w:id="94"/>
      <w:bookmarkEnd w:id="95"/>
    </w:p>
    <w:p>
      <w:pPr>
        <w:pStyle w:val="3"/>
        <w:keepNext/>
        <w:keepLines/>
        <w:overflowPunct/>
        <w:autoSpaceDE/>
        <w:autoSpaceDN/>
        <w:adjustRightInd/>
        <w:spacing w:before="180"/>
        <w:ind w:left="1134"/>
        <w:textAlignment w:val="auto"/>
        <w:outlineLvl w:val="1"/>
        <w:rPr>
          <w:lang w:eastAsia="en-US"/>
        </w:rPr>
      </w:pPr>
      <w:bookmarkStart w:id="96" w:name="_Toc20167"/>
      <w:bookmarkStart w:id="97" w:name="_Toc30435"/>
      <w:bookmarkStart w:id="98" w:name="_Toc7077"/>
      <w:bookmarkStart w:id="99" w:name="_Toc17580"/>
      <w:bookmarkStart w:id="100" w:name="_Toc22650"/>
      <w:bookmarkStart w:id="101" w:name="_Toc9035"/>
      <w:bookmarkStart w:id="102" w:name="_Toc3999"/>
      <w:bookmarkStart w:id="103" w:name="_Toc2628"/>
      <w:r>
        <w:rPr>
          <w:rFonts w:hint="eastAsia"/>
          <w:lang w:eastAsia="en-US"/>
        </w:rPr>
        <w:t xml:space="preserve">6.1 </w:t>
      </w:r>
      <w:r>
        <w:rPr>
          <w:lang w:eastAsia="en-US"/>
        </w:rPr>
        <w:t>Co-existence simulation scenario</w:t>
      </w:r>
      <w:bookmarkEnd w:id="96"/>
      <w:bookmarkEnd w:id="97"/>
      <w:bookmarkEnd w:id="98"/>
      <w:bookmarkEnd w:id="99"/>
      <w:bookmarkEnd w:id="100"/>
      <w:bookmarkEnd w:id="101"/>
      <w:bookmarkEnd w:id="102"/>
      <w:bookmarkEnd w:id="103"/>
    </w:p>
    <w:p>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1449"/>
        <w:gridCol w:w="1348"/>
        <w:gridCol w:w="1108"/>
        <w:gridCol w:w="1348"/>
        <w:gridCol w:w="1108"/>
        <w:gridCol w:w="1252"/>
        <w:gridCol w:w="848"/>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zh-CN"/>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6</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7</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8</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9</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10</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11</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9"/>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ind w:left="720" w:hanging="720" w:hangingChars="400"/>
              <w:jc w:val="both"/>
              <w:textAlignment w:val="auto"/>
              <w:rPr>
                <w:rFonts w:ascii="Arial" w:hAnsi="Arial" w:eastAsia="宋体"/>
                <w:sz w:val="18"/>
                <w:lang w:val="en-US" w:eastAsia="zh-CN"/>
              </w:rPr>
            </w:pPr>
            <w:r>
              <w:rPr>
                <w:rFonts w:hint="eastAsia" w:ascii="Arial" w:hAnsi="Arial" w:eastAsia="宋体"/>
                <w:sz w:val="18"/>
                <w:lang w:val="en-US" w:eastAsia="zh-CN"/>
              </w:rPr>
              <w:t>NOTE 1: ACLR/ACS requirement for ATG BS and ATG UE are derived based on the synchronized scenario in Phase 1.</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NOTE 2: the non-synchronized coexistence scenarios listed in phase 2 are mainly used to identify the isolation distance between ATG BS and the the legacy TN BSs. And it</w:t>
            </w:r>
            <w:r>
              <w:rPr>
                <w:rFonts w:ascii="Arial" w:hAnsi="Arial" w:eastAsia="宋体"/>
                <w:sz w:val="18"/>
                <w:lang w:val="en-US" w:eastAsia="zh-CN"/>
              </w:rPr>
              <w:t>’</w:t>
            </w:r>
            <w:r>
              <w:rPr>
                <w:rFonts w:hint="eastAsia" w:ascii="Arial" w:hAnsi="Arial" w:eastAsia="宋体"/>
                <w:sz w:val="18"/>
                <w:lang w:val="en-US" w:eastAsia="zh-CN"/>
              </w:rPr>
              <w:t>s agreed to reuse</w:t>
            </w:r>
            <w:r>
              <w:rPr>
                <w:rFonts w:hint="eastAsia" w:ascii="Arial" w:hAnsi="Arial" w:eastAsia="宋体"/>
                <w:sz w:val="18"/>
                <w:lang w:val="en-US" w:eastAsia="zh-CN" w:bidi="ar"/>
              </w:rPr>
              <w:t xml:space="preserve"> 45dB ACLR and 46dB ACS for both TN and ATG BS for non-synchronized scenarios to derive isolated distance.</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 xml:space="preserve">NOTE 3: </w:t>
            </w:r>
            <w:r>
              <w:rPr>
                <w:rFonts w:hint="eastAsia" w:ascii="Arial" w:hAnsi="Arial" w:eastAsia="宋体"/>
                <w:sz w:val="18"/>
                <w:lang w:val="en-US" w:eastAsia="zh-CN" w:bidi="ar"/>
              </w:rPr>
              <w:t>For scenario 11, if simulator doesn</w:t>
            </w:r>
            <w:r>
              <w:rPr>
                <w:rFonts w:ascii="Arial" w:hAnsi="Arial" w:eastAsia="宋体"/>
                <w:sz w:val="18"/>
                <w:lang w:val="en-US" w:eastAsia="zh-CN" w:bidi="ar"/>
              </w:rPr>
              <w:t>’</w:t>
            </w:r>
            <w:r>
              <w:rPr>
                <w:rFonts w:hint="eastAsia" w:ascii="Arial" w:hAnsi="Arial" w:eastAsia="宋体"/>
                <w:sz w:val="18"/>
                <w:lang w:val="en-US" w:eastAsia="zh-CN" w:bidi="ar"/>
              </w:rPr>
              <w:t>t support additional ring of TN network, i.e. additional 18 site and 54 cells, it</w:t>
            </w:r>
            <w:r>
              <w:rPr>
                <w:rFonts w:ascii="Arial" w:hAnsi="Arial" w:eastAsia="宋体"/>
                <w:sz w:val="18"/>
                <w:lang w:val="en-US" w:eastAsia="zh-CN" w:bidi="ar"/>
              </w:rPr>
              <w:t>’</w:t>
            </w:r>
            <w:r>
              <w:rPr>
                <w:rFonts w:hint="eastAsia" w:ascii="Arial" w:hAnsi="Arial" w:eastAsia="宋体"/>
                <w:sz w:val="18"/>
                <w:lang w:val="en-US" w:eastAsia="zh-CN" w:bidi="ar"/>
              </w:rPr>
              <w:t>s allowed to double the aggregate interference power from the 57 TN cells to simplify the platform modification, i.e. interference +3dB.</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ascii="Arial" w:hAnsi="Arial" w:eastAsia="宋体"/>
                <w:sz w:val="18"/>
                <w:lang w:val="en-US" w:eastAsia="zh-CN"/>
              </w:rPr>
              <w:t xml:space="preserve">NOTE 4: </w:t>
            </w:r>
            <w:r>
              <w:rPr>
                <w:rFonts w:ascii="Arial" w:hAnsi="Arial" w:eastAsia="宋体"/>
                <w:sz w:val="18"/>
                <w:lang w:val="en-US" w:eastAsia="zh-CN" w:bidi="ar"/>
              </w:rPr>
              <w:t xml:space="preserve">For scenario 6, 8 and 13 which is CLI between ATG UE and TN UE,  it’s not expected to have further coexistence </w:t>
            </w:r>
            <w:r>
              <w:rPr>
                <w:rFonts w:hint="eastAsia" w:ascii="Arial" w:hAnsi="Arial" w:eastAsia="宋体"/>
                <w:sz w:val="18"/>
                <w:lang w:val="en-US" w:eastAsia="zh-CN" w:bidi="ar"/>
              </w:rPr>
              <w:t>simulation evaluation</w:t>
            </w:r>
            <w:r>
              <w:rPr>
                <w:rFonts w:ascii="Arial" w:hAnsi="Arial" w:eastAsia="宋体"/>
                <w:sz w:val="18"/>
                <w:lang w:val="en-US" w:eastAsia="zh-CN" w:bidi="ar"/>
              </w:rPr>
              <w:t xml:space="preserve"> in Phase 2 due to low interference level.</w:t>
            </w:r>
          </w:p>
          <w:p>
            <w:pPr>
              <w:keepNext/>
              <w:keepLines/>
              <w:overflowPunct/>
              <w:autoSpaceDE/>
              <w:autoSpaceDN/>
              <w:adjustRightInd/>
              <w:spacing w:after="0"/>
              <w:ind w:left="720" w:hanging="720" w:hangingChars="400"/>
              <w:textAlignment w:val="auto"/>
              <w:rPr>
                <w:rFonts w:ascii="Arial" w:hAnsi="Arial" w:eastAsia="宋体"/>
                <w:sz w:val="18"/>
                <w:lang w:val="en-US" w:eastAsia="zh-CN"/>
              </w:rPr>
            </w:pPr>
          </w:p>
        </w:tc>
      </w:tr>
    </w:tbl>
    <w:p/>
    <w:p>
      <w:pPr>
        <w:pStyle w:val="3"/>
        <w:ind w:left="0" w:firstLine="0"/>
      </w:pPr>
      <w:bookmarkStart w:id="104" w:name="_Toc133498122"/>
      <w:bookmarkStart w:id="105" w:name="_Toc31666"/>
      <w:bookmarkStart w:id="106" w:name="_Toc19232"/>
      <w:bookmarkStart w:id="107" w:name="_Toc30518"/>
      <w:bookmarkStart w:id="108" w:name="_Toc19222"/>
      <w:bookmarkStart w:id="109" w:name="_Toc2227"/>
      <w:bookmarkStart w:id="110" w:name="_Toc24500"/>
      <w:bookmarkStart w:id="111" w:name="_Toc26556"/>
      <w:bookmarkStart w:id="112" w:name="_Toc15570"/>
      <w:bookmarkStart w:id="113" w:name="_Toc12307"/>
      <w:r>
        <w:rPr>
          <w:rFonts w:hint="eastAsia"/>
        </w:rPr>
        <w:t xml:space="preserve">6.2 </w:t>
      </w:r>
      <w:r>
        <w:t>Co-existence simulation assumption</w:t>
      </w:r>
      <w:bookmarkEnd w:id="104"/>
      <w:bookmarkEnd w:id="105"/>
      <w:bookmarkEnd w:id="106"/>
      <w:bookmarkEnd w:id="107"/>
      <w:bookmarkEnd w:id="108"/>
      <w:bookmarkEnd w:id="109"/>
      <w:bookmarkEnd w:id="110"/>
      <w:bookmarkEnd w:id="111"/>
      <w:bookmarkEnd w:id="112"/>
      <w:bookmarkEnd w:id="113"/>
    </w:p>
    <w:p>
      <w:pPr>
        <w:pStyle w:val="4"/>
      </w:pPr>
      <w:bookmarkStart w:id="114" w:name="_Toc9499"/>
      <w:bookmarkStart w:id="115" w:name="_Toc133498123"/>
      <w:bookmarkStart w:id="116" w:name="_Toc13494"/>
      <w:bookmarkStart w:id="117" w:name="_Toc24991"/>
      <w:bookmarkStart w:id="118" w:name="_Toc19942"/>
      <w:bookmarkStart w:id="119" w:name="_Toc19321"/>
      <w:bookmarkStart w:id="120" w:name="_Toc786"/>
      <w:bookmarkStart w:id="121" w:name="_Toc20586"/>
      <w:bookmarkStart w:id="122" w:name="_Toc19200"/>
      <w:bookmarkStart w:id="123" w:name="_Toc1925"/>
      <w:r>
        <w:rPr>
          <w:rFonts w:hint="eastAsia"/>
        </w:rPr>
        <w:t xml:space="preserve">6.2.1 </w:t>
      </w:r>
      <w:r>
        <w:t>Network layout model</w:t>
      </w:r>
      <w:bookmarkEnd w:id="114"/>
      <w:bookmarkEnd w:id="115"/>
      <w:bookmarkEnd w:id="116"/>
      <w:bookmarkEnd w:id="117"/>
      <w:bookmarkEnd w:id="118"/>
      <w:bookmarkEnd w:id="119"/>
      <w:bookmarkEnd w:id="120"/>
      <w:bookmarkEnd w:id="121"/>
      <w:bookmarkEnd w:id="122"/>
      <w:bookmarkEnd w:id="123"/>
    </w:p>
    <w:p>
      <w:pPr>
        <w:pStyle w:val="5"/>
      </w:pPr>
      <w:bookmarkStart w:id="124" w:name="_Toc5012"/>
      <w:bookmarkStart w:id="125" w:name="_Toc29244"/>
      <w:bookmarkStart w:id="126" w:name="_Toc4508"/>
      <w:bookmarkStart w:id="127" w:name="_Toc8448"/>
      <w:bookmarkStart w:id="128" w:name="_Toc133498124"/>
      <w:bookmarkStart w:id="129" w:name="_Toc22027"/>
      <w:bookmarkStart w:id="130" w:name="_Toc7624"/>
      <w:bookmarkStart w:id="131" w:name="_Toc10442"/>
      <w:bookmarkStart w:id="132" w:name="_Toc13138"/>
      <w:bookmarkStart w:id="133" w:name="_Toc29146"/>
      <w:r>
        <w:rPr>
          <w:rFonts w:hint="eastAsia"/>
          <w:lang w:eastAsia="zh-CN"/>
        </w:rPr>
        <w:t xml:space="preserve">6.2.1.1 </w:t>
      </w:r>
      <w:r>
        <w:t>Co-existence between ATG and NR terrestrial network</w:t>
      </w:r>
      <w:bookmarkEnd w:id="124"/>
      <w:bookmarkEnd w:id="125"/>
      <w:bookmarkEnd w:id="126"/>
      <w:bookmarkEnd w:id="127"/>
      <w:bookmarkEnd w:id="128"/>
      <w:bookmarkEnd w:id="129"/>
      <w:bookmarkEnd w:id="130"/>
      <w:bookmarkEnd w:id="131"/>
      <w:bookmarkEnd w:id="132"/>
      <w:bookmarkEnd w:id="133"/>
    </w:p>
    <w:p>
      <w:r>
        <w:t>Co-existence modelling is based on positioning a single ATG BS/sector and a TN cluster. Two options exist for the positioning of the TN cluster relative to the ATG BS.</w:t>
      </w:r>
    </w:p>
    <w:p>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ctrlPr>
                  <w:rPr>
                    <w:rFonts w:ascii="Cambria Math" w:hAnsi="Cambria Math"/>
                    <w:i/>
                  </w:rPr>
                </m:ctrlPr>
              </m:deg>
              <m:e>
                <m:r>
                  <m:rPr/>
                  <w:rPr>
                    <w:rFonts w:ascii="Cambria Math" w:hAnsi="Cambria Math"/>
                  </w:rPr>
                  <m:t>3</m:t>
                </m:r>
                <m:ctrlPr>
                  <w:rPr>
                    <w:rFonts w:ascii="Cambria Math" w:hAnsi="Cambria Math"/>
                    <w:i/>
                  </w:rPr>
                </m:ctrlPr>
              </m:e>
            </m:rad>
            <m:ctrlPr>
              <w:rPr>
                <w:rFonts w:ascii="Cambria Math" w:hAnsi="Cambria Math"/>
                <w:i/>
              </w:rPr>
            </m:ctrlPr>
          </m:num>
          <m:den>
            <m:r>
              <m:rPr/>
              <w:rPr>
                <w:rFonts w:ascii="Cambria Math" w:hAnsi="Cambria Math"/>
              </w:rPr>
              <m:t>3</m:t>
            </m:r>
            <m:ctrlPr>
              <w:rPr>
                <w:rFonts w:ascii="Cambria Math" w:hAnsi="Cambria Math"/>
                <w:i/>
              </w:rPr>
            </m:ctrlPr>
          </m:den>
        </m:f>
        <m:sSub>
          <m:sSubPr>
            <m:ctrlPr>
              <w:rPr>
                <w:rFonts w:ascii="Cambria Math" w:hAnsi="Cambria Math"/>
                <w:i/>
              </w:rPr>
            </m:ctrlPr>
          </m:sSubPr>
          <m:e>
            <m:r>
              <m:rPr/>
              <w:rPr>
                <w:rFonts w:ascii="Cambria Math" w:hAnsi="Cambria Math"/>
              </w:rPr>
              <m:t>ISD</m:t>
            </m:r>
            <m:ctrlPr>
              <w:rPr>
                <w:rFonts w:ascii="Cambria Math" w:hAnsi="Cambria Math"/>
                <w:i/>
              </w:rPr>
            </m:ctrlPr>
          </m:e>
          <m:sub>
            <m:r>
              <m:rPr/>
              <w:rPr>
                <w:rFonts w:ascii="Cambria Math" w:hAnsi="Cambria Math"/>
              </w:rPr>
              <m:t>TN</m:t>
            </m:r>
            <m:ctrlPr>
              <w:rPr>
                <w:rFonts w:ascii="Cambria Math" w:hAnsi="Cambria Math"/>
                <w:i/>
              </w:rPr>
            </m:ctrlPr>
          </m:sub>
        </m:sSub>
      </m:oMath>
      <w:r>
        <w:t xml:space="preserve"> as depicted in figure 6.2.1.1-2.</w:t>
      </w:r>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6.2.1.1-1 Network layout with TN network located close to ATG BS</w:t>
      </w:r>
    </w:p>
    <w:p>
      <w:pPr>
        <w:jc w:val="center"/>
        <w:rPr>
          <w:rFonts w:ascii="Calibri" w:hAnsi="Calibri" w:cs="Calibri"/>
          <w:b/>
          <w:bCs/>
          <w:sz w:val="22"/>
          <w:szCs w:val="22"/>
          <w:lang w:val="en-US" w:eastAsia="zh-CN"/>
        </w:rPr>
      </w:pPr>
    </w:p>
    <w:p>
      <w:pPr>
        <w:pStyle w:val="76"/>
      </w:pPr>
      <w:r>
        <w:object>
          <v:shape id="_x0000_i1026" o:spt="75" type="#_x0000_t75" style="height:220pt;width:288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pPr>
        <w:pStyle w:val="83"/>
      </w:pPr>
      <w:r>
        <w:t>Figure 6.2.1.1-2 Offset of ATG BS compared to TN BS grid when the TN cluster is located close to the ATG BS</w:t>
      </w:r>
    </w:p>
    <w:p>
      <w:r>
        <w:t xml:space="preserve">For the remaining simulation cases, if the ATG UE has an </w:t>
      </w:r>
      <w:r>
        <w:rPr>
          <w:rFonts w:hint="eastAsia" w:eastAsia="宋体"/>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6.2.1.1-3 Network layout with TN network located directly underneath the aircraft</w:t>
      </w:r>
    </w:p>
    <w:p>
      <w:pPr>
        <w:jc w:val="center"/>
      </w:pPr>
    </w:p>
    <w:p>
      <w:pPr>
        <w:pStyle w:val="5"/>
        <w:keepNext/>
        <w:keepLines/>
        <w:spacing w:before="120"/>
        <w:ind w:left="1418"/>
        <w:outlineLvl w:val="3"/>
      </w:pPr>
      <w:bookmarkStart w:id="134" w:name="_Toc17713"/>
      <w:bookmarkStart w:id="135" w:name="_Toc13081"/>
      <w:bookmarkStart w:id="136" w:name="_Toc19789"/>
      <w:bookmarkStart w:id="137" w:name="_Toc32599"/>
      <w:bookmarkStart w:id="138" w:name="_Toc28523"/>
      <w:bookmarkStart w:id="139" w:name="_Toc2848"/>
      <w:bookmarkStart w:id="140" w:name="_Toc1341"/>
      <w:bookmarkStart w:id="141" w:name="_Toc5221"/>
      <w:r>
        <w:rPr>
          <w:rFonts w:hint="eastAsia"/>
          <w:lang w:eastAsia="zh-CN"/>
        </w:rPr>
        <w:t>6.2.1.</w:t>
      </w:r>
      <w:r>
        <w:rPr>
          <w:lang w:eastAsia="zh-CN"/>
        </w:rPr>
        <w:t>2</w:t>
      </w:r>
      <w:r>
        <w:rPr>
          <w:rFonts w:hint="eastAsia"/>
          <w:lang w:eastAsia="zh-CN"/>
        </w:rPr>
        <w:t xml:space="preserve"> </w:t>
      </w:r>
      <w:r>
        <w:t>TN Network Layout</w:t>
      </w:r>
      <w:bookmarkEnd w:id="134"/>
      <w:bookmarkEnd w:id="135"/>
      <w:bookmarkEnd w:id="136"/>
      <w:bookmarkEnd w:id="137"/>
      <w:bookmarkEnd w:id="138"/>
      <w:bookmarkEnd w:id="139"/>
      <w:bookmarkEnd w:id="140"/>
      <w:bookmarkEnd w:id="141"/>
    </w:p>
    <w:p>
      <w:r>
        <w:t>A rural hexagonal grid layout is assumed for TN network clusters with the parameters of table 6.2.1.</w:t>
      </w:r>
      <w:r>
        <w:rPr>
          <w:rFonts w:hint="eastAsia" w:eastAsia="宋体"/>
          <w:lang w:val="en-US" w:eastAsia="zh-CN"/>
        </w:rPr>
        <w:t>2-1</w:t>
      </w:r>
      <w:r>
        <w:t>.</w:t>
      </w:r>
    </w:p>
    <w:p>
      <w:pPr>
        <w:keepNext/>
        <w:keepLines/>
        <w:spacing w:before="60"/>
        <w:jc w:val="center"/>
        <w:rPr>
          <w:rFonts w:ascii="Arial" w:hAnsi="Arial"/>
          <w:b/>
        </w:rPr>
      </w:pPr>
      <w:r>
        <w:rPr>
          <w:rFonts w:ascii="Arial" w:hAnsi="Arial"/>
          <w:b/>
        </w:rPr>
        <w:t xml:space="preserve">Table 6.2.1.2-1: Simulation scenarios for </w:t>
      </w:r>
      <w:r>
        <w:rPr>
          <w:rFonts w:hint="eastAsia" w:ascii="Arial" w:hAnsi="Arial" w:eastAsia="宋体"/>
          <w:b/>
          <w:lang w:val="en-US" w:eastAsia="zh-CN"/>
        </w:rPr>
        <w:t>TN network layout</w:t>
      </w:r>
    </w:p>
    <w:tbl>
      <w:tblPr>
        <w:tblStyle w:val="49"/>
        <w:tblW w:w="9780" w:type="dxa"/>
        <w:tblInd w:w="534" w:type="dxa"/>
        <w:tblLayout w:type="autofit"/>
        <w:tblCellMar>
          <w:top w:w="0" w:type="dxa"/>
          <w:left w:w="0" w:type="dxa"/>
          <w:bottom w:w="0" w:type="dxa"/>
          <w:right w:w="0" w:type="dxa"/>
        </w:tblCellMar>
      </w:tblPr>
      <w:tblGrid>
        <w:gridCol w:w="837"/>
        <w:gridCol w:w="3845"/>
        <w:gridCol w:w="5098"/>
      </w:tblGrid>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Values</w:t>
            </w:r>
          </w:p>
        </w:tc>
      </w:tr>
      <w:tr>
        <w:tblPrEx>
          <w:tblCellMar>
            <w:top w:w="0" w:type="dxa"/>
            <w:left w:w="0" w:type="dxa"/>
            <w:bottom w:w="0" w:type="dxa"/>
            <w:right w:w="0" w:type="dxa"/>
          </w:tblCellMar>
        </w:tblPrEx>
        <w:trPr>
          <w:trHeight w:val="514" w:hRule="atLeast"/>
        </w:trPr>
        <w:tc>
          <w:tcPr>
            <w:tcW w:w="4682" w:type="dxa"/>
            <w:gridSpan w:val="2"/>
            <w:vMerge w:val="restart"/>
            <w:tcBorders>
              <w:top w:val="single" w:color="000000" w:sz="8" w:space="0"/>
              <w:left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Network layout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rFonts w:ascii="Arial" w:hAnsi="Arial" w:cs="Arial"/>
                <w:sz w:val="18"/>
                <w:lang w:eastAsia="ja-JP"/>
              </w:rPr>
            </w:pPr>
            <w:r>
              <w:rPr>
                <w:rFonts w:hint="eastAsia" w:ascii="Arial" w:hAnsi="Arial" w:eastAsia="宋体" w:cs="Arial"/>
                <w:sz w:val="18"/>
                <w:lang w:val="en-US" w:eastAsia="zh-CN"/>
              </w:rPr>
              <w:t>For synchronized case:</w:t>
            </w:r>
          </w:p>
          <w:p>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pPr>
              <w:keepNext/>
              <w:keepLines/>
              <w:spacing w:after="0"/>
              <w:jc w:val="center"/>
              <w:rPr>
                <w:rFonts w:ascii="Arial" w:hAnsi="Arial" w:eastAsia="MS PGothic"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tblPrEx>
          <w:tblCellMar>
            <w:top w:w="0" w:type="dxa"/>
            <w:left w:w="0" w:type="dxa"/>
            <w:bottom w:w="0" w:type="dxa"/>
            <w:right w:w="0" w:type="dxa"/>
          </w:tblCellMar>
        </w:tblPrEx>
        <w:trPr>
          <w:trHeight w:val="514" w:hRule="atLeast"/>
        </w:trPr>
        <w:tc>
          <w:tcPr>
            <w:tcW w:w="4682" w:type="dxa"/>
            <w:gridSpan w:val="2"/>
            <w:vMerge w:val="continue"/>
            <w:tcBorders>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pP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rFonts w:ascii="Arial" w:hAnsi="Arial" w:cs="Arial"/>
                <w:sz w:val="18"/>
                <w:lang w:eastAsia="ja-JP"/>
              </w:rPr>
            </w:pPr>
            <w:r>
              <w:rPr>
                <w:rFonts w:hint="eastAsia" w:ascii="Arial" w:hAnsi="Arial" w:eastAsia="宋体" w:cs="Arial"/>
                <w:sz w:val="18"/>
                <w:lang w:val="en-US" w:eastAsia="zh-CN"/>
              </w:rPr>
              <w:t xml:space="preserve">For non-synchronized case: </w:t>
            </w:r>
            <w:r>
              <w:rPr>
                <w:rFonts w:ascii="Arial" w:hAnsi="Arial" w:eastAsia="宋体" w:cs="Arial"/>
                <w:color w:val="000000" w:themeColor="text1"/>
                <w:sz w:val="18"/>
                <w:szCs w:val="18"/>
                <w:lang w:eastAsia="zh-CN"/>
                <w14:textFill>
                  <w14:solidFill>
                    <w14:schemeClr w14:val="tx1"/>
                  </w14:solidFill>
                </w14:textFill>
              </w:rPr>
              <w:t>no wrap around in TN</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Inter-site distance</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hint="eastAsia" w:ascii="Arial" w:hAnsi="Arial" w:eastAsia="宋体" w:cs="Arial"/>
                <w:sz w:val="18"/>
                <w:lang w:val="en-US" w:eastAsia="zh-CN"/>
              </w:rPr>
              <w:t>3</w:t>
            </w:r>
            <w:r>
              <w:rPr>
                <w:rFonts w:ascii="Arial" w:hAnsi="Arial" w:cs="Arial"/>
                <w:sz w:val="18"/>
                <w:lang w:eastAsia="ja-JP"/>
              </w:rPr>
              <w:t>.5 km</w:t>
            </w:r>
            <w:r>
              <w:rPr>
                <w:rFonts w:hint="eastAsia" w:ascii="Arial" w:hAnsi="Arial" w:cs="Arial"/>
                <w:sz w:val="18"/>
                <w:lang w:eastAsia="ja-JP"/>
              </w:rPr>
              <w:t xml:space="preserve"> (</w:t>
            </w:r>
            <w:r>
              <w:rPr>
                <w:rFonts w:ascii="Arial" w:hAnsi="Arial" w:cs="Arial"/>
                <w:sz w:val="18"/>
                <w:lang w:eastAsia="ja-JP"/>
              </w:rPr>
              <w:t>4GHz)</w:t>
            </w:r>
          </w:p>
          <w:p>
            <w:pPr>
              <w:keepNext/>
              <w:keepLines/>
              <w:spacing w:after="0"/>
              <w:jc w:val="center"/>
              <w:rPr>
                <w:rFonts w:ascii="Arial" w:hAnsi="Arial" w:cs="Arial"/>
                <w:sz w:val="18"/>
                <w:lang w:eastAsia="ja-JP"/>
              </w:rPr>
            </w:pPr>
            <w:r>
              <w:rPr>
                <w:rFonts w:hint="eastAsia" w:ascii="Arial" w:hAnsi="Arial" w:eastAsia="宋体" w:cs="Arial"/>
                <w:sz w:val="18"/>
                <w:lang w:val="en-US" w:eastAsia="zh-CN"/>
              </w:rPr>
              <w:t>7</w:t>
            </w:r>
            <w:r>
              <w:rPr>
                <w:rFonts w:ascii="Arial" w:hAnsi="Arial" w:cs="Arial"/>
                <w:sz w:val="18"/>
                <w:lang w:eastAsia="ja-JP"/>
              </w:rPr>
              <w:t>.5 k</w:t>
            </w:r>
            <w:r>
              <w:rPr>
                <w:rFonts w:hint="eastAsia" w:ascii="Arial" w:hAnsi="Arial" w:cs="Arial"/>
                <w:sz w:val="18"/>
                <w:lang w:eastAsia="ja-JP"/>
              </w:rPr>
              <w:t>m (</w:t>
            </w:r>
            <w:r>
              <w:rPr>
                <w:rFonts w:ascii="Arial" w:hAnsi="Arial" w:cs="Arial"/>
                <w:sz w:val="18"/>
                <w:lang w:eastAsia="ja-JP"/>
              </w:rPr>
              <w:t>2GHz</w:t>
            </w:r>
            <w:r>
              <w:rPr>
                <w:rFonts w:hint="eastAsia" w:ascii="Arial" w:hAnsi="Arial" w:cs="Arial"/>
                <w:sz w:val="18"/>
                <w:lang w:eastAsia="ja-JP"/>
              </w:rPr>
              <w:t>)</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BS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30 m</w:t>
            </w:r>
          </w:p>
        </w:tc>
      </w:tr>
      <w:tr>
        <w:tblPrEx>
          <w:tblCellMar>
            <w:top w:w="0" w:type="dxa"/>
            <w:left w:w="0" w:type="dxa"/>
            <w:bottom w:w="0" w:type="dxa"/>
            <w:right w:w="0" w:type="dxa"/>
          </w:tblCellMar>
        </w:tblPrEx>
        <w:tc>
          <w:tcPr>
            <w:tcW w:w="83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location</w:t>
            </w: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Outdoor/indoor</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Outdoor only</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Indoor UE ratio</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sz w:val="18"/>
                <w:lang w:eastAsia="ja-JP"/>
              </w:rPr>
              <w:t>0</w:t>
            </w:r>
            <w:r>
              <w:rPr>
                <w:rFonts w:hint="eastAsia" w:ascii="Arial" w:hAnsi="Arial"/>
                <w:sz w:val="18"/>
                <w:lang w:eastAsia="ja-JP"/>
              </w:rPr>
              <w:t>%</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LOS/NLOS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LOS and NLOS, see subclause 6.2.5</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UE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val="nl-NL" w:eastAsia="ja-JP"/>
              </w:rPr>
              <w:t>1.5m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distribution (horizontal)</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Uniform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Minimum BS - UE distance (2D)</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35 m</w:t>
            </w:r>
          </w:p>
        </w:tc>
      </w:tr>
    </w:tbl>
    <w:p/>
    <w:p>
      <w:pPr>
        <w:pStyle w:val="5"/>
        <w:keepNext/>
        <w:keepLines/>
        <w:spacing w:before="120"/>
        <w:ind w:left="1418"/>
        <w:outlineLvl w:val="3"/>
      </w:pPr>
      <w:bookmarkStart w:id="142" w:name="_Toc12492"/>
      <w:bookmarkStart w:id="143" w:name="_Toc21132"/>
      <w:bookmarkStart w:id="144" w:name="_Toc1022"/>
      <w:bookmarkStart w:id="145" w:name="_Toc9053"/>
      <w:bookmarkStart w:id="146" w:name="_Toc17571"/>
      <w:bookmarkStart w:id="147" w:name="_Toc31149"/>
      <w:bookmarkStart w:id="148" w:name="_Toc25734"/>
      <w:bookmarkStart w:id="149" w:name="_Toc26252"/>
      <w:r>
        <w:rPr>
          <w:rFonts w:hint="eastAsia"/>
          <w:lang w:eastAsia="zh-CN"/>
        </w:rPr>
        <w:t>6.2.1.</w:t>
      </w:r>
      <w:r>
        <w:rPr>
          <w:lang w:eastAsia="zh-CN"/>
        </w:rPr>
        <w:t>3</w:t>
      </w:r>
      <w:r>
        <w:rPr>
          <w:rFonts w:hint="eastAsia"/>
          <w:lang w:eastAsia="zh-CN"/>
        </w:rPr>
        <w:t xml:space="preserve"> </w:t>
      </w:r>
      <w:r>
        <w:t>ATG Network Layout</w:t>
      </w:r>
      <w:bookmarkEnd w:id="142"/>
      <w:bookmarkEnd w:id="143"/>
      <w:bookmarkEnd w:id="144"/>
      <w:bookmarkEnd w:id="145"/>
      <w:bookmarkEnd w:id="146"/>
      <w:bookmarkEnd w:id="147"/>
      <w:bookmarkEnd w:id="148"/>
      <w:bookmarkEnd w:id="149"/>
    </w:p>
    <w:p>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pPr>
        <w:rPr>
          <w:iCs/>
          <w:lang w:eastAsia="zh-CN"/>
        </w:rPr>
      </w:pPr>
      <w:r>
        <w:rPr>
          <w:iCs/>
          <w:lang w:eastAsia="zh-CN"/>
        </w:rPr>
        <w:t>In the vertical domain, ATG UEs are distributed in height between 3000m and 10000m</w:t>
      </w:r>
    </w:p>
    <w:p>
      <w:pPr>
        <w:keepNext/>
        <w:keepLines/>
        <w:spacing w:before="60"/>
        <w:jc w:val="center"/>
        <w:rPr>
          <w:rFonts w:ascii="Arial" w:hAnsi="Arial"/>
          <w:b/>
        </w:rPr>
      </w:pPr>
      <w:r>
        <w:rPr>
          <w:rFonts w:ascii="Arial" w:hAnsi="Arial"/>
          <w:b/>
        </w:rPr>
        <w:t>Table 6.2.1.</w:t>
      </w:r>
      <w:r>
        <w:rPr>
          <w:rFonts w:hint="eastAsia" w:ascii="Arial" w:hAnsi="Arial" w:eastAsia="宋体"/>
          <w:b/>
          <w:lang w:val="en-US" w:eastAsia="zh-CN"/>
        </w:rPr>
        <w:t>3</w:t>
      </w:r>
      <w:r>
        <w:rPr>
          <w:rFonts w:ascii="Arial" w:hAnsi="Arial"/>
          <w:b/>
        </w:rPr>
        <w:t>-1: Simulation scenarios for ATG coexistence study</w:t>
      </w:r>
    </w:p>
    <w:tbl>
      <w:tblPr>
        <w:tblStyle w:val="49"/>
        <w:tblW w:w="9323" w:type="dxa"/>
        <w:tblInd w:w="534" w:type="dxa"/>
        <w:tblLayout w:type="autofit"/>
        <w:tblCellMar>
          <w:top w:w="0" w:type="dxa"/>
          <w:left w:w="0" w:type="dxa"/>
          <w:bottom w:w="0" w:type="dxa"/>
          <w:right w:w="0" w:type="dxa"/>
        </w:tblCellMar>
      </w:tblPr>
      <w:tblGrid>
        <w:gridCol w:w="4400"/>
        <w:gridCol w:w="2475"/>
        <w:gridCol w:w="2448"/>
      </w:tblGrid>
      <w:tr>
        <w:tblPrEx>
          <w:tblCellMar>
            <w:top w:w="0" w:type="dxa"/>
            <w:left w:w="0" w:type="dxa"/>
            <w:bottom w:w="0" w:type="dxa"/>
            <w:right w:w="0" w:type="dxa"/>
          </w:tblCellMar>
        </w:tblPrEx>
        <w:trPr>
          <w:trHeight w:val="193" w:hRule="atLeast"/>
        </w:trPr>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No sub-arrays</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b/>
                <w:sz w:val="18"/>
                <w:lang w:eastAsia="ja-JP"/>
              </w:rPr>
            </w:pPr>
            <w:r>
              <w:rPr>
                <w:rFonts w:ascii="Arial" w:hAnsi="Arial"/>
                <w:b/>
                <w:sz w:val="18"/>
                <w:lang w:eastAsia="ja-JP"/>
              </w:rPr>
              <w:t>Sub-arrays</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Minimum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20km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50km</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Maximum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cs="Arial"/>
                <w:sz w:val="18"/>
                <w:lang w:eastAsia="ja-JP"/>
              </w:rPr>
            </w:pPr>
            <w:r>
              <w:rPr>
                <w:rFonts w:ascii="Arial" w:hAnsi="Arial" w:cs="Arial"/>
                <w:sz w:val="18"/>
                <w:lang w:eastAsia="ja-JP"/>
              </w:rPr>
              <w:t>100km</w:t>
            </w:r>
          </w:p>
        </w:tc>
      </w:tr>
    </w:tbl>
    <w:p>
      <w:pPr>
        <w:rPr>
          <w:iCs/>
          <w:lang w:eastAsia="zh-CN"/>
        </w:rPr>
      </w:pPr>
    </w:p>
    <w:p>
      <w:pPr>
        <w:jc w:val="center"/>
        <w:rPr>
          <w:iCs/>
          <w:lang w:eastAsia="zh-CN"/>
        </w:rPr>
      </w:pPr>
      <w:r>
        <w:rPr>
          <w:iCs/>
          <w:lang w:eastAsia="zh-CN"/>
        </w:rPr>
        <w:drawing>
          <wp:inline distT="0" distB="0" distL="0" distR="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pPr>
        <w:jc w:val="center"/>
        <w:rPr>
          <w:rFonts w:ascii="Arial" w:hAnsi="Arial" w:cs="Arial"/>
          <w:b/>
          <w:bCs/>
          <w:sz w:val="20"/>
          <w:szCs w:val="20"/>
          <w:lang w:val="en-US" w:eastAsia="zh-CN"/>
        </w:rPr>
      </w:pPr>
      <w:r>
        <w:rPr>
          <w:rFonts w:ascii="Arial" w:hAnsi="Arial" w:cs="Arial"/>
          <w:b/>
          <w:bCs/>
          <w:sz w:val="20"/>
          <w:szCs w:val="20"/>
          <w:lang w:val="en-US" w:eastAsia="zh-CN"/>
        </w:rPr>
        <w:t>Figure 6.2.1.3-1 ATG BS layout (In horizontal boresight direction of ATG antenna)</w:t>
      </w:r>
    </w:p>
    <w:p>
      <w:pPr>
        <w:tabs>
          <w:tab w:val="left" w:pos="1622"/>
        </w:tabs>
        <w:spacing w:after="0" w:line="259" w:lineRule="auto"/>
        <w:rPr>
          <w:rFonts w:ascii="Arial" w:hAnsi="Arial" w:eastAsia="MS Mincho" w:cs="Arial"/>
          <w:szCs w:val="24"/>
          <w:lang w:val="en-US" w:eastAsia="zh-CN"/>
        </w:rPr>
      </w:pPr>
    </w:p>
    <w:p>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hint="eastAsia" w:eastAsia="等线"/>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pPr>
        <w:pStyle w:val="74"/>
        <w:rPr>
          <w:rFonts w:eastAsia="等线"/>
          <w:lang w:val="en-US" w:eastAsia="ko" w:bidi="ar"/>
        </w:rPr>
      </w:pPr>
      <w:r>
        <w:rPr>
          <w:rFonts w:eastAsia="等线"/>
          <w:lang w:val="en-US" w:eastAsia="ko" w:bidi="ar"/>
        </w:rPr>
        <w:t>-</w:t>
      </w:r>
      <w:r>
        <w:rPr>
          <w:rFonts w:eastAsia="等线"/>
          <w:lang w:val="en-US" w:eastAsia="ko" w:bidi="ar"/>
        </w:rPr>
        <w:tab/>
      </w:r>
      <w:r>
        <w:rPr>
          <w:rFonts w:eastAsia="等线"/>
          <w:lang w:val="en-US" w:eastAsia="ko" w:bidi="ar"/>
        </w:rPr>
        <w:t xml:space="preserve">Optional: ATG BS is 300km away.  </w:t>
      </w:r>
    </w:p>
    <w:p>
      <w:pPr>
        <w:overflowPunct/>
        <w:autoSpaceDE/>
        <w:autoSpaceDN/>
        <w:adjustRightInd/>
        <w:spacing w:after="120"/>
        <w:textAlignment w:val="auto"/>
        <w:rPr>
          <w:szCs w:val="24"/>
          <w:lang w:val="en-US" w:eastAsia="zh-CN"/>
        </w:rPr>
      </w:pPr>
      <w:r>
        <w:rPr>
          <w:szCs w:val="24"/>
          <w:lang w:val="en-US" w:eastAsia="zh-CN" w:bidi="ar"/>
        </w:rPr>
        <w:t xml:space="preserve"> </w:t>
      </w:r>
    </w:p>
    <w:p>
      <w:pPr>
        <w:pStyle w:val="76"/>
        <w:rPr>
          <w:lang w:val="en-US" w:eastAsia="zh-CN" w:bidi="ar"/>
        </w:rPr>
      </w:pPr>
      <w:r>
        <w:rPr>
          <w:lang w:val="en-US" w:eastAsia="zh-CN" w:bidi="ar"/>
        </w:rPr>
        <w:drawing>
          <wp:inline distT="0" distB="0" distL="114300" distR="114300">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2978150" cy="1790700"/>
                    </a:xfrm>
                    <a:prstGeom prst="rect">
                      <a:avLst/>
                    </a:prstGeom>
                    <a:noFill/>
                    <a:ln>
                      <a:noFill/>
                    </a:ln>
                  </pic:spPr>
                </pic:pic>
              </a:graphicData>
            </a:graphic>
          </wp:inline>
        </w:drawing>
      </w:r>
    </w:p>
    <w:p>
      <w:pPr>
        <w:pStyle w:val="83"/>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pPr>
        <w:overflowPunct/>
        <w:autoSpaceDE/>
        <w:autoSpaceDN/>
        <w:adjustRightInd/>
        <w:spacing w:after="160" w:line="259" w:lineRule="auto"/>
        <w:textAlignment w:val="auto"/>
        <w:rPr>
          <w:rFonts w:ascii="Arial" w:hAnsi="Arial" w:eastAsia="Calibri" w:cs="Arial"/>
          <w:szCs w:val="22"/>
          <w:lang w:val="en-US" w:eastAsia="ja-JP"/>
        </w:rPr>
      </w:pPr>
    </w:p>
    <w:p>
      <w:pPr>
        <w:pStyle w:val="5"/>
      </w:pPr>
      <w:bookmarkStart w:id="150" w:name="_Toc10211"/>
      <w:bookmarkStart w:id="151" w:name="_Toc16332"/>
      <w:bookmarkStart w:id="152" w:name="_Toc26015"/>
      <w:bookmarkStart w:id="153" w:name="_Toc19236"/>
      <w:bookmarkStart w:id="154" w:name="_Toc9916"/>
      <w:bookmarkStart w:id="155" w:name="_Toc6216"/>
      <w:bookmarkStart w:id="156" w:name="_Toc9607"/>
      <w:bookmarkStart w:id="157" w:name="_Toc9851"/>
      <w:bookmarkStart w:id="158" w:name="_Toc25267"/>
      <w:r>
        <w:t>6.2.1.4 Non-synchronized scenarios network layout</w:t>
      </w:r>
      <w:bookmarkEnd w:id="150"/>
      <w:bookmarkEnd w:id="151"/>
      <w:bookmarkEnd w:id="152"/>
      <w:bookmarkEnd w:id="153"/>
      <w:bookmarkEnd w:id="154"/>
      <w:bookmarkEnd w:id="155"/>
      <w:bookmarkEnd w:id="156"/>
      <w:bookmarkEnd w:id="157"/>
      <w:bookmarkEnd w:id="158"/>
    </w:p>
    <w:p>
      <w:pPr>
        <w:pStyle w:val="6"/>
        <w:rPr>
          <w:lang w:val="en-GB" w:eastAsia="ja-JP"/>
        </w:rPr>
      </w:pPr>
      <w:bookmarkStart w:id="159" w:name="_Toc21811"/>
      <w:bookmarkStart w:id="160" w:name="_Toc7572"/>
      <w:bookmarkStart w:id="161" w:name="_Toc3483"/>
      <w:bookmarkStart w:id="162" w:name="_Toc10678"/>
      <w:bookmarkStart w:id="163" w:name="_Toc8376"/>
      <w:bookmarkStart w:id="164" w:name="_Toc20062"/>
      <w:bookmarkStart w:id="165" w:name="_Toc21227"/>
      <w:bookmarkStart w:id="166" w:name="_Toc25695"/>
      <w:bookmarkStart w:id="167" w:name="_Toc30367"/>
      <w:r>
        <w:rPr>
          <w:lang w:val="en-GB" w:eastAsia="ja-JP"/>
        </w:rPr>
        <w:t xml:space="preserve">Case 1 - </w:t>
      </w:r>
      <w:r>
        <w:t>Angle between ATG BS boresight and nearest TN BS boresight in azimuth is 0 degree</w:t>
      </w:r>
      <w:bookmarkEnd w:id="159"/>
      <w:bookmarkEnd w:id="160"/>
      <w:bookmarkEnd w:id="161"/>
      <w:bookmarkEnd w:id="162"/>
      <w:bookmarkEnd w:id="163"/>
      <w:bookmarkEnd w:id="164"/>
      <w:bookmarkEnd w:id="165"/>
      <w:bookmarkEnd w:id="166"/>
      <w:bookmarkEnd w:id="167"/>
    </w:p>
    <w:p>
      <w:pPr>
        <w:rPr>
          <w:rFonts w:cs="Arial"/>
          <w:szCs w:val="20"/>
          <w:lang w:val="en-GB" w:eastAsia="ja-JP"/>
        </w:rPr>
      </w:pPr>
      <w:r>
        <w:rPr>
          <w:rFonts w:cs="Arial"/>
          <w:lang w:val="en-GB" w:eastAsia="ja-JP"/>
        </w:rPr>
        <w:t xml:space="preserve">Figure </w:t>
      </w:r>
      <w:r>
        <w:rPr>
          <w:rFonts w:hint="eastAsia" w:eastAsia="宋体" w:cs="Arial"/>
          <w:lang w:val="en-US" w:eastAsia="zh-CN"/>
        </w:rPr>
        <w:t>6.2.1.4-</w:t>
      </w:r>
      <w:r>
        <w:rPr>
          <w:rFonts w:cs="Arial"/>
          <w:lang w:val="en-GB" w:eastAsia="ja-JP"/>
        </w:rPr>
        <w:t>1 depicts the case when the angle between ATG BS boresight and nearest TN boresight in azimuth is 0 degree</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0 degree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1,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1,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BS, ATG UE and TN cluster center are in a straight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lang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keepNext/>
        <w:jc w:val="center"/>
        <w:rPr>
          <w:rFonts w:cs="Arial"/>
        </w:rPr>
      </w:pPr>
      <w:r>
        <w:rPr>
          <w:rFonts w:cs="Arial"/>
        </w:rPr>
        <w:drawing>
          <wp:inline distT="0" distB="0" distL="0" distR="0">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pPr>
        <w:pStyle w:val="28"/>
        <w:jc w:val="center"/>
        <w:rPr>
          <w:rFonts w:ascii="Arial" w:hAnsi="Arial" w:cs="Arial"/>
          <w:i w:val="0"/>
          <w:iCs w:val="0"/>
          <w:color w:val="auto"/>
          <w:lang w:val="en-GB" w:eastAsia="ja-JP"/>
        </w:rPr>
      </w:pPr>
      <w:r>
        <w:rPr>
          <w:rFonts w:ascii="Arial" w:hAnsi="Arial" w:cs="Arial"/>
          <w:i w:val="0"/>
          <w:iCs w:val="0"/>
          <w:color w:val="auto"/>
        </w:rPr>
        <w:t xml:space="preserve">Figure </w:t>
      </w:r>
      <w:r>
        <w:rPr>
          <w:rFonts w:hint="default" w:ascii="Arial" w:hAnsi="Arial" w:eastAsia="宋体" w:cs="Arial"/>
          <w:i w:val="0"/>
          <w:iCs w:val="0"/>
          <w:color w:val="auto"/>
          <w:lang w:val="en-US" w:eastAsia="zh-CN"/>
        </w:rPr>
        <w:t>6.2.1.4-</w:t>
      </w:r>
      <w:r>
        <w:rPr>
          <w:rFonts w:ascii="Arial" w:hAnsi="Arial" w:cs="Arial"/>
          <w:i w:val="0"/>
          <w:iCs w:val="0"/>
          <w:color w:val="auto"/>
        </w:rPr>
        <w:fldChar w:fldCharType="begin"/>
      </w:r>
      <w:r>
        <w:rPr>
          <w:rFonts w:ascii="Arial" w:hAnsi="Arial" w:cs="Arial"/>
          <w:i w:val="0"/>
          <w:iCs w:val="0"/>
          <w:color w:val="auto"/>
        </w:rPr>
        <w:instrText xml:space="preserve"> SEQ Figure \* ARABIC </w:instrText>
      </w:r>
      <w:r>
        <w:rPr>
          <w:rFonts w:ascii="Arial" w:hAnsi="Arial" w:cs="Arial"/>
          <w:i w:val="0"/>
          <w:iCs w:val="0"/>
          <w:color w:val="auto"/>
        </w:rPr>
        <w:fldChar w:fldCharType="separate"/>
      </w:r>
      <w:r>
        <w:rPr>
          <w:rFonts w:ascii="Arial" w:hAnsi="Arial" w:cs="Arial"/>
          <w:i w:val="0"/>
          <w:iCs w:val="0"/>
          <w:color w:val="auto"/>
        </w:rPr>
        <w:t>1</w:t>
      </w:r>
      <w:r>
        <w:rPr>
          <w:rFonts w:ascii="Arial" w:hAnsi="Arial" w:cs="Arial"/>
          <w:i w:val="0"/>
          <w:iCs w:val="0"/>
          <w:color w:val="auto"/>
        </w:rPr>
        <w:fldChar w:fldCharType="end"/>
      </w:r>
      <w:r>
        <w:rPr>
          <w:rFonts w:ascii="Arial" w:hAnsi="Arial" w:cs="Arial"/>
          <w:i w:val="0"/>
          <w:iCs w:val="0"/>
          <w:color w:val="auto"/>
        </w:rPr>
        <w:t>: Angle between ATG BS boresight and nearest TN BS boresight in azimuth is 0 degree</w:t>
      </w:r>
    </w:p>
    <w:p>
      <w:pPr>
        <w:rPr>
          <w:rFonts w:cs="Arial"/>
          <w:lang w:val="en-GB" w:eastAsia="ja-JP"/>
        </w:rPr>
      </w:pPr>
    </w:p>
    <w:p>
      <w:pPr>
        <w:pStyle w:val="6"/>
        <w:rPr>
          <w:lang w:val="en-GB" w:eastAsia="ja-JP"/>
        </w:rPr>
      </w:pPr>
      <w:bookmarkStart w:id="168" w:name="_Toc16696"/>
      <w:bookmarkStart w:id="169" w:name="_Toc3421"/>
      <w:bookmarkStart w:id="170" w:name="_Toc20844"/>
      <w:bookmarkStart w:id="171" w:name="_Toc6154"/>
      <w:bookmarkStart w:id="172" w:name="_Toc28454"/>
      <w:bookmarkStart w:id="173" w:name="_Toc22587"/>
      <w:bookmarkStart w:id="174" w:name="_Toc12696"/>
      <w:bookmarkStart w:id="175" w:name="_Toc30171"/>
      <w:bookmarkStart w:id="176" w:name="_Toc16679"/>
      <w:r>
        <w:rPr>
          <w:lang w:val="en-GB" w:eastAsia="ja-JP"/>
        </w:rPr>
        <w:t xml:space="preserve">Case 2 - </w:t>
      </w:r>
      <w:r>
        <w:t>Angle between ATG BS boresight and nearest TN BS boresight in azimuth is 30 degrees</w:t>
      </w:r>
      <w:bookmarkEnd w:id="168"/>
      <w:bookmarkEnd w:id="169"/>
      <w:bookmarkEnd w:id="170"/>
      <w:bookmarkEnd w:id="171"/>
      <w:bookmarkEnd w:id="172"/>
      <w:bookmarkEnd w:id="173"/>
      <w:bookmarkEnd w:id="174"/>
      <w:bookmarkEnd w:id="175"/>
      <w:bookmarkEnd w:id="176"/>
    </w:p>
    <w:p>
      <w:pPr>
        <w:rPr>
          <w:rFonts w:cs="Arial"/>
          <w:szCs w:val="20"/>
          <w:lang w:val="en-GB" w:eastAsia="ja-JP"/>
        </w:rPr>
      </w:pPr>
      <w:r>
        <w:rPr>
          <w:rFonts w:cs="Arial"/>
          <w:lang w:val="en-GB" w:eastAsia="ja-JP"/>
        </w:rPr>
        <w:t xml:space="preserve">Figure </w:t>
      </w:r>
      <w:r>
        <w:rPr>
          <w:rFonts w:hint="eastAsia" w:eastAsia="宋体" w:cs="Arial"/>
          <w:lang w:val="en-US" w:eastAsia="zh-CN"/>
        </w:rPr>
        <w:t>6.2.1.4-</w:t>
      </w:r>
      <w:r>
        <w:rPr>
          <w:rFonts w:cs="Arial"/>
          <w:lang w:val="en-GB" w:eastAsia="ja-JP"/>
        </w:rPr>
        <w:t>2 depicts the case when the angle between ATG BS boresight and nearest TN boresight in azimuth is 30 degrees</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30 degrees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2,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2,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keepNext/>
        <w:jc w:val="center"/>
        <w:rPr>
          <w:rFonts w:cs="Arial"/>
        </w:rPr>
      </w:pPr>
    </w:p>
    <w:p>
      <w:pPr>
        <w:keepNext/>
        <w:jc w:val="center"/>
        <w:rPr>
          <w:rFonts w:cs="Arial"/>
        </w:rPr>
      </w:pPr>
      <w:r>
        <w:rPr>
          <w:rFonts w:cs="Arial"/>
        </w:rPr>
        <w:drawing>
          <wp:inline distT="0" distB="0" distL="0" distR="0">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pPr>
        <w:pStyle w:val="28"/>
        <w:jc w:val="center"/>
        <w:rPr>
          <w:rFonts w:ascii="Arial" w:hAnsi="Arial" w:cs="Arial"/>
          <w:i w:val="0"/>
          <w:iCs w:val="0"/>
          <w:color w:val="auto"/>
        </w:rPr>
      </w:pPr>
      <w:r>
        <w:rPr>
          <w:rFonts w:ascii="Arial" w:hAnsi="Arial" w:cs="Arial"/>
          <w:i w:val="0"/>
          <w:iCs w:val="0"/>
          <w:color w:val="auto"/>
        </w:rPr>
        <w:t xml:space="preserve">Figure </w:t>
      </w:r>
      <w:r>
        <w:rPr>
          <w:rFonts w:hint="default" w:ascii="Arial" w:hAnsi="Arial" w:eastAsia="宋体" w:cs="Arial"/>
          <w:i w:val="0"/>
          <w:iCs w:val="0"/>
          <w:color w:val="auto"/>
          <w:lang w:val="en-US" w:eastAsia="zh-CN"/>
        </w:rPr>
        <w:t>6.2.1.4-2</w:t>
      </w:r>
      <w:r>
        <w:rPr>
          <w:rFonts w:ascii="Arial" w:hAnsi="Arial" w:cs="Arial"/>
          <w:i w:val="0"/>
          <w:iCs w:val="0"/>
          <w:color w:val="auto"/>
        </w:rPr>
        <w:t>: Angle between ATG BS boresight and nearest TN BS boresight in azimuth is 30 degrees</w:t>
      </w:r>
    </w:p>
    <w:p>
      <w:pPr>
        <w:rPr>
          <w:rFonts w:cs="Arial"/>
          <w:lang w:val="en-GB" w:eastAsia="ja-JP"/>
        </w:rPr>
      </w:pPr>
    </w:p>
    <w:p>
      <w:pPr>
        <w:pStyle w:val="6"/>
        <w:rPr>
          <w:lang w:val="en-GB" w:eastAsia="ja-JP"/>
        </w:rPr>
      </w:pPr>
      <w:bookmarkStart w:id="177" w:name="_Toc30616"/>
      <w:bookmarkStart w:id="178" w:name="_Toc9322"/>
      <w:bookmarkStart w:id="179" w:name="_Toc6912"/>
      <w:bookmarkStart w:id="180" w:name="_Toc25917"/>
      <w:bookmarkStart w:id="181" w:name="_Toc13483"/>
      <w:bookmarkStart w:id="182" w:name="_Toc14520"/>
      <w:bookmarkStart w:id="183" w:name="_Toc13304"/>
      <w:bookmarkStart w:id="184" w:name="_Toc7329"/>
      <w:bookmarkStart w:id="185" w:name="_Toc12375"/>
      <w:r>
        <w:rPr>
          <w:lang w:val="en-GB" w:eastAsia="ja-JP"/>
        </w:rPr>
        <w:t xml:space="preserve">Case 3 - </w:t>
      </w:r>
      <w:r>
        <w:t>Angle between ATG BS boresight and nearest TN BS boresight in azimuth is 60 degrees</w:t>
      </w:r>
      <w:bookmarkEnd w:id="177"/>
      <w:bookmarkEnd w:id="178"/>
      <w:bookmarkEnd w:id="179"/>
      <w:bookmarkEnd w:id="180"/>
      <w:bookmarkEnd w:id="181"/>
      <w:bookmarkEnd w:id="182"/>
      <w:bookmarkEnd w:id="183"/>
      <w:bookmarkEnd w:id="184"/>
      <w:bookmarkEnd w:id="185"/>
    </w:p>
    <w:p>
      <w:pPr>
        <w:rPr>
          <w:rFonts w:cs="Arial"/>
          <w:szCs w:val="20"/>
          <w:lang w:val="en-GB" w:eastAsia="ja-JP"/>
        </w:rPr>
      </w:pPr>
      <w:r>
        <w:rPr>
          <w:rFonts w:cs="Arial"/>
          <w:lang w:val="en-GB" w:eastAsia="ja-JP"/>
        </w:rPr>
        <w:t xml:space="preserve">Figure </w:t>
      </w:r>
      <w:r>
        <w:rPr>
          <w:rFonts w:hint="eastAsia" w:eastAsia="宋体" w:cs="Arial"/>
          <w:lang w:val="en-US" w:eastAsia="zh-CN"/>
        </w:rPr>
        <w:t>6.2.1.4-</w:t>
      </w:r>
      <w:r>
        <w:rPr>
          <w:rFonts w:cs="Arial"/>
          <w:lang w:val="en-GB" w:eastAsia="ja-JP"/>
        </w:rPr>
        <w:t>3 depicts the case when the angle between ATG BS boresight and nearest TN boresight in azimuth is 60 degrees</w:t>
      </w:r>
      <w:r>
        <w:rPr>
          <w:rFonts w:cs="Arial"/>
          <w:szCs w:val="20"/>
          <w:lang w:val="en-GB" w:eastAsia="ja-JP"/>
        </w:rPr>
        <w:t xml:space="preserve">, also highlighted below – </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The nearest TN BS sector points at the ATG BS in azimuth, with angle between the ATG BS boresight and nearest TN boresight as 60 degrees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3,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 xml:space="preserve">ATG BS points at the ATG UE (In Figure </w:t>
      </w:r>
      <w:r>
        <w:rPr>
          <w:rFonts w:hint="eastAsia" w:ascii="Times New Roman" w:hAnsi="Times New Roman" w:cs="Times New Roman"/>
          <w:sz w:val="20"/>
          <w:szCs w:val="20"/>
          <w:lang w:val="en-GB" w:eastAsia="ja-JP"/>
        </w:rPr>
        <w:t>6.2.1.4-</w:t>
      </w:r>
      <w:r>
        <w:rPr>
          <w:rFonts w:ascii="Times New Roman" w:hAnsi="Times New Roman" w:cs="Times New Roman"/>
          <w:sz w:val="20"/>
          <w:szCs w:val="20"/>
          <w:lang w:val="en-GB" w:eastAsia="ja-JP"/>
        </w:rPr>
        <w:t>3, highlighted through the orange dotted line)</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Isolation distance is the between the ATG BS and nearest TN BS.</w:t>
      </w:r>
    </w:p>
    <w:p>
      <w:pPr>
        <w:pStyle w:val="106"/>
        <w:numPr>
          <w:ilvl w:val="0"/>
          <w:numId w:val="5"/>
        </w:numPr>
        <w:rPr>
          <w:rFonts w:ascii="Times New Roman" w:hAnsi="Times New Roman" w:cs="Times New Roman"/>
          <w:sz w:val="20"/>
          <w:szCs w:val="20"/>
          <w:lang w:val="en-GB" w:eastAsia="ja-JP"/>
        </w:rPr>
      </w:pPr>
      <w:r>
        <w:rPr>
          <w:rFonts w:ascii="Times New Roman" w:hAnsi="Times New Roman" w:cs="Times New Roman"/>
          <w:sz w:val="20"/>
          <w:szCs w:val="20"/>
          <w:lang w:val="en-GB" w:eastAsia="ja-JP"/>
        </w:rPr>
        <w:t>ATG UE is dropped between the maximum and minimum distance assumption depending on the ATG/ TN BS antenna configuration.</w:t>
      </w:r>
    </w:p>
    <w:p>
      <w:pPr>
        <w:rPr>
          <w:rFonts w:cs="Arial"/>
          <w:lang w:val="en-GB" w:eastAsia="ja-JP"/>
        </w:rPr>
      </w:pPr>
    </w:p>
    <w:p>
      <w:pPr>
        <w:keepNext/>
        <w:jc w:val="center"/>
        <w:rPr>
          <w:rFonts w:cs="Arial"/>
          <w:lang w:val="en-GB"/>
        </w:rPr>
      </w:pPr>
      <w:r>
        <w:rPr>
          <w:rFonts w:cs="Arial"/>
          <w:lang w:val="en-GB"/>
        </w:rPr>
        <w:drawing>
          <wp:inline distT="0" distB="0" distL="0" distR="0">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pPr>
        <w:pStyle w:val="28"/>
        <w:jc w:val="center"/>
        <w:rPr>
          <w:rFonts w:ascii="Arial" w:hAnsi="Arial" w:cs="Arial"/>
          <w:i w:val="0"/>
          <w:iCs w:val="0"/>
          <w:color w:val="auto"/>
          <w:lang w:val="en-GB" w:eastAsia="ja-JP"/>
        </w:rPr>
      </w:pPr>
      <w:r>
        <w:rPr>
          <w:rFonts w:ascii="Arial" w:hAnsi="Arial" w:cs="Arial"/>
          <w:i w:val="0"/>
          <w:iCs w:val="0"/>
          <w:color w:val="auto"/>
        </w:rPr>
        <w:t xml:space="preserve">Figure </w:t>
      </w:r>
      <w:r>
        <w:rPr>
          <w:rFonts w:hint="default" w:ascii="Arial" w:hAnsi="Arial" w:eastAsia="宋体" w:cs="Arial"/>
          <w:i w:val="0"/>
          <w:iCs w:val="0"/>
          <w:color w:val="auto"/>
          <w:lang w:val="en-US" w:eastAsia="zh-CN"/>
        </w:rPr>
        <w:t>6.2.1.4-3</w:t>
      </w:r>
      <w:r>
        <w:rPr>
          <w:rFonts w:ascii="Arial" w:hAnsi="Arial" w:cs="Arial"/>
          <w:i w:val="0"/>
          <w:iCs w:val="0"/>
          <w:color w:val="auto"/>
        </w:rPr>
        <w:t>: Angle between ATG BS boresight and nearest TN BS boresight in azimuth is 60 degrees</w:t>
      </w:r>
    </w:p>
    <w:p>
      <w:pPr>
        <w:pStyle w:val="4"/>
        <w:keepNext/>
        <w:keepLines/>
        <w:spacing w:before="120"/>
        <w:ind w:left="1134"/>
        <w:outlineLvl w:val="2"/>
      </w:pPr>
      <w:bookmarkStart w:id="186" w:name="_Toc25668"/>
      <w:bookmarkStart w:id="187" w:name="_Toc4465"/>
      <w:bookmarkStart w:id="188" w:name="_Toc16706"/>
      <w:bookmarkStart w:id="189" w:name="_Toc24545"/>
      <w:bookmarkStart w:id="190" w:name="_Toc21934"/>
      <w:bookmarkStart w:id="191" w:name="_Toc6353"/>
      <w:bookmarkStart w:id="192" w:name="_Toc8336"/>
      <w:bookmarkStart w:id="193" w:name="_Toc4442"/>
      <w:r>
        <w:rPr>
          <w:rFonts w:hint="eastAsia"/>
          <w:lang w:eastAsia="zh-CN"/>
        </w:rPr>
        <w:t xml:space="preserve">6.2.2 </w:t>
      </w:r>
      <w:r>
        <w:t>System parameters</w:t>
      </w:r>
      <w:bookmarkEnd w:id="186"/>
      <w:bookmarkEnd w:id="187"/>
      <w:bookmarkEnd w:id="188"/>
      <w:bookmarkEnd w:id="189"/>
      <w:bookmarkEnd w:id="190"/>
      <w:bookmarkEnd w:id="191"/>
      <w:bookmarkEnd w:id="192"/>
      <w:bookmarkEnd w:id="193"/>
    </w:p>
    <w:p>
      <w:pPr>
        <w:pStyle w:val="5"/>
        <w:keepNext/>
        <w:keepLines/>
        <w:spacing w:before="120"/>
        <w:ind w:left="1418"/>
        <w:outlineLvl w:val="3"/>
      </w:pPr>
      <w:bookmarkStart w:id="194" w:name="_Toc8931"/>
      <w:bookmarkStart w:id="195" w:name="_Toc1422"/>
      <w:bookmarkStart w:id="196" w:name="_Toc7713"/>
      <w:bookmarkStart w:id="197" w:name="_Toc92"/>
      <w:bookmarkStart w:id="198" w:name="_Toc22902"/>
      <w:bookmarkStart w:id="199" w:name="_Toc4301"/>
      <w:bookmarkStart w:id="200" w:name="_Toc20012"/>
      <w:bookmarkStart w:id="201" w:name="_Toc20938"/>
      <w:r>
        <w:rPr>
          <w:rFonts w:hint="eastAsia"/>
        </w:rPr>
        <w:t xml:space="preserve">6.2.2.1 </w:t>
      </w:r>
      <w:r>
        <w:t>ATG parameters</w:t>
      </w:r>
      <w:bookmarkEnd w:id="194"/>
      <w:bookmarkEnd w:id="195"/>
      <w:bookmarkEnd w:id="196"/>
      <w:bookmarkEnd w:id="197"/>
      <w:bookmarkEnd w:id="198"/>
      <w:bookmarkEnd w:id="199"/>
      <w:bookmarkEnd w:id="200"/>
      <w:bookmarkEnd w:id="201"/>
    </w:p>
    <w:p>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pPr>
        <w:keepNext/>
        <w:keepLines/>
        <w:spacing w:before="60"/>
        <w:jc w:val="center"/>
        <w:rPr>
          <w:rFonts w:ascii="Arial" w:hAnsi="Arial"/>
          <w:b/>
        </w:rPr>
      </w:pPr>
      <w:r>
        <w:rPr>
          <w:rFonts w:ascii="Arial" w:hAnsi="Arial"/>
          <w:b/>
        </w:rPr>
        <w:t>Table 6.2.2.1-1: system parameters for ATG BS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9"/>
        <w:gridCol w:w="7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2GHz, </w:t>
            </w:r>
            <w:r>
              <w:rPr>
                <w:rFonts w:hint="eastAsia" w:ascii="Arial" w:hAnsi="Arial"/>
                <w:sz w:val="18"/>
                <w:lang w:eastAsia="zh-CN"/>
              </w:rPr>
              <w:t>4</w:t>
            </w:r>
            <w:r>
              <w:rPr>
                <w:rFonts w:ascii="Arial" w:hAnsi="Arial"/>
                <w:sz w:val="18"/>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FDD@2GHz, TDD@</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20MHz@2GHz, 100MHz@</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15k@2GHz, 30k@</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Single ATG UE per ATG cell</w:t>
            </w:r>
          </w:p>
          <w:p>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pPr>
              <w:keepNext/>
              <w:keepLines/>
              <w:spacing w:after="20"/>
              <w:rPr>
                <w:rFonts w:ascii="Arial" w:hAnsi="Arial"/>
                <w:sz w:val="18"/>
              </w:rPr>
            </w:pPr>
            <w:r>
              <w:rPr>
                <w:rFonts w:ascii="Arial" w:hAnsi="Arial"/>
                <w:sz w:val="18"/>
              </w:rPr>
              <w:t>Vertical: Based on ATG UE uniform distribution among 3 to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UL active UEs per cell</w:t>
            </w:r>
          </w:p>
          <w:p>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pPr>
              <w:keepNext/>
              <w:keepLines/>
              <w:spacing w:after="20"/>
              <w:rPr>
                <w:rFonts w:ascii="Arial" w:hAnsi="Arial"/>
                <w:sz w:val="18"/>
                <w:lang w:eastAsia="zh-CN"/>
              </w:rPr>
            </w:pPr>
            <w:r>
              <w:rPr>
                <w:rFonts w:hint="eastAsia" w:ascii="Arial" w:hAnsi="Arial"/>
                <w:sz w:val="18"/>
                <w:lang w:eastAsia="zh-CN"/>
              </w:rPr>
              <w:t>1</w:t>
            </w:r>
            <w:r>
              <w:rPr>
                <w:rFonts w:ascii="Arial" w:hAnsi="Arial"/>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maximum output power</w:t>
            </w:r>
          </w:p>
        </w:tc>
        <w:tc>
          <w:tcPr>
            <w:tcW w:w="0" w:type="auto"/>
            <w:tcMar>
              <w:top w:w="28" w:type="dxa"/>
              <w:bottom w:w="28" w:type="dxa"/>
            </w:tcMar>
            <w:vAlign w:val="center"/>
          </w:tcPr>
          <w:p>
            <w:pPr>
              <w:keepNext/>
              <w:keepLines/>
              <w:spacing w:after="20"/>
              <w:rPr>
                <w:rFonts w:ascii="Arial" w:hAnsi="Arial" w:eastAsia="宋体"/>
                <w:sz w:val="18"/>
                <w:lang w:eastAsia="zh-CN"/>
              </w:rPr>
            </w:pPr>
            <w:r>
              <w:rPr>
                <w:rFonts w:ascii="Arial" w:hAnsi="Arial" w:eastAsia="宋体"/>
                <w:sz w:val="18"/>
                <w:lang w:eastAsia="zh-CN"/>
              </w:rPr>
              <w:t>46dBm sum of two polarizations</w:t>
            </w:r>
            <w:r>
              <w:rPr>
                <w:rFonts w:hint="eastAsia" w:ascii="Arial" w:hAnsi="Arial" w:eastAsia="宋体"/>
                <w:sz w:val="18"/>
                <w:lang w:eastAsia="zh-CN"/>
              </w:rPr>
              <w:t xml:space="preserve"> </w:t>
            </w:r>
            <w:r>
              <w:rPr>
                <w:rFonts w:ascii="Arial" w:hAnsi="Arial" w:eastAsia="宋体"/>
                <w:sz w:val="18"/>
                <w:lang w:eastAsia="zh-CN"/>
              </w:rPr>
              <w:t>for 2GHz</w:t>
            </w:r>
          </w:p>
          <w:p>
            <w:pPr>
              <w:keepNext/>
              <w:keepLines/>
              <w:spacing w:after="20"/>
              <w:rPr>
                <w:rFonts w:ascii="Arial" w:hAnsi="Arial" w:eastAsia="宋体"/>
                <w:sz w:val="18"/>
                <w:lang w:eastAsia="zh-CN"/>
              </w:rPr>
            </w:pPr>
            <w:r>
              <w:rPr>
                <w:rFonts w:hint="eastAsia" w:ascii="Arial" w:hAnsi="Arial" w:eastAsia="宋体"/>
                <w:sz w:val="18"/>
                <w:lang w:eastAsia="zh-CN"/>
              </w:rPr>
              <w:t xml:space="preserve">53dBm </w:t>
            </w:r>
            <w:r>
              <w:rPr>
                <w:rFonts w:ascii="Arial" w:hAnsi="Arial"/>
                <w:sz w:val="18"/>
                <w:lang w:eastAsia="zh-CN"/>
              </w:rPr>
              <w:t>sum of two polarizations</w:t>
            </w:r>
            <w:r>
              <w:rPr>
                <w:rFonts w:hint="eastAsia" w:ascii="Arial" w:hAnsi="Arial" w:eastAsia="宋体"/>
                <w:sz w:val="18"/>
                <w:lang w:eastAsia="zh-CN"/>
              </w:rPr>
              <w:t xml:space="preserve">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noise figure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Mar>
              <w:top w:w="28" w:type="dxa"/>
              <w:bottom w:w="28" w:type="dxa"/>
            </w:tcMar>
            <w:vAlign w:val="center"/>
          </w:tcPr>
          <w:p>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hint="eastAsia" w:ascii="Arial" w:hAnsi="Arial"/>
                <w:sz w:val="18"/>
                <w:lang w:eastAsia="zh-CN"/>
              </w:rPr>
              <w:t>ATG BS</w:t>
            </w:r>
            <w:r>
              <w:rPr>
                <w:rFonts w:ascii="Arial" w:hAnsi="Arial"/>
                <w:sz w:val="18"/>
              </w:rPr>
              <w:t xml:space="preserve"> is assumed to serve UEs in the rural environment</w:t>
            </w:r>
            <w:r>
              <w:rPr>
                <w:rFonts w:hint="eastAsia" w:ascii="Arial" w:hAnsi="Arial"/>
                <w:sz w:val="18"/>
                <w:lang w:eastAsia="zh-CN"/>
              </w:rPr>
              <w:t>.</w:t>
            </w:r>
          </w:p>
          <w:p>
            <w:pPr>
              <w:keepNext/>
              <w:keepLines/>
              <w:spacing w:after="20"/>
              <w:rPr>
                <w:rFonts w:ascii="Arial" w:hAnsi="Arial"/>
                <w:sz w:val="18"/>
              </w:rPr>
            </w:pPr>
            <w:r>
              <w:rPr>
                <w:rFonts w:ascii="Arial" w:hAnsi="Arial"/>
                <w:sz w:val="18"/>
              </w:rPr>
              <w:t>NOTE 2:</w:t>
            </w:r>
            <w:r>
              <w:rPr>
                <w:rFonts w:ascii="Arial" w:hAnsi="Arial"/>
                <w:sz w:val="18"/>
              </w:rPr>
              <w:tab/>
            </w:r>
            <w:r>
              <w:rPr>
                <w:rFonts w:ascii="Arial" w:hAnsi="Arial"/>
                <w:sz w:val="18"/>
              </w:rPr>
              <w:t>Same as the number of BS beam(s).</w:t>
            </w:r>
          </w:p>
          <w:p>
            <w:pPr>
              <w:keepNext/>
              <w:keepLines/>
              <w:spacing w:after="20"/>
              <w:ind w:left="900" w:hanging="900" w:hangingChars="500"/>
              <w:rPr>
                <w:rFonts w:ascii="Arial" w:hAnsi="Arial"/>
                <w:sz w:val="18"/>
              </w:rPr>
            </w:pPr>
            <w:r>
              <w:rPr>
                <w:rFonts w:ascii="Arial" w:hAnsi="Arial"/>
                <w:sz w:val="18"/>
              </w:rPr>
              <w:t>NOTE 3:</w:t>
            </w:r>
            <w:r>
              <w:rPr>
                <w:rFonts w:ascii="Arial" w:hAnsi="Arial"/>
                <w:sz w:val="18"/>
              </w:rPr>
              <w:tab/>
            </w:r>
            <w:r>
              <w:rPr>
                <w:rFonts w:ascii="Arial" w:hAnsi="Arial"/>
                <w:sz w:val="18"/>
              </w:rPr>
              <w:t>Target SNR for simulation is based on CL values and only compensates pathloss in the simulation assumptions.</w:t>
            </w:r>
          </w:p>
          <w:p>
            <w:pPr>
              <w:keepNext/>
              <w:keepLines/>
              <w:spacing w:after="20"/>
              <w:rPr>
                <w:rFonts w:ascii="Arial" w:hAnsi="Arial"/>
                <w:sz w:val="18"/>
              </w:rPr>
            </w:pPr>
          </w:p>
        </w:tc>
      </w:tr>
    </w:tbl>
    <w:p/>
    <w:p>
      <w:pPr>
        <w:pStyle w:val="5"/>
        <w:keepNext/>
        <w:keepLines/>
        <w:spacing w:before="120"/>
        <w:ind w:left="1418"/>
        <w:outlineLvl w:val="3"/>
      </w:pPr>
      <w:bookmarkStart w:id="202" w:name="_Toc28672"/>
      <w:bookmarkStart w:id="203" w:name="_Toc11009"/>
      <w:bookmarkStart w:id="204" w:name="_Toc29485"/>
      <w:bookmarkStart w:id="205" w:name="_Toc14406"/>
      <w:bookmarkStart w:id="206" w:name="_Toc15442"/>
      <w:bookmarkStart w:id="207" w:name="_Toc13807"/>
      <w:bookmarkStart w:id="208" w:name="_Toc29330"/>
      <w:bookmarkStart w:id="209" w:name="_Toc22654"/>
      <w:r>
        <w:rPr>
          <w:rFonts w:hint="eastAsia"/>
        </w:rPr>
        <w:t xml:space="preserve">6.2.2.2 </w:t>
      </w:r>
      <w:r>
        <w:t>ATG UE parameters</w:t>
      </w:r>
      <w:bookmarkEnd w:id="202"/>
      <w:bookmarkEnd w:id="203"/>
      <w:bookmarkEnd w:id="204"/>
      <w:bookmarkEnd w:id="205"/>
      <w:bookmarkEnd w:id="206"/>
      <w:bookmarkEnd w:id="207"/>
      <w:bookmarkEnd w:id="208"/>
      <w:bookmarkEnd w:id="209"/>
    </w:p>
    <w:p>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pPr>
        <w:keepNext/>
        <w:keepLines/>
        <w:spacing w:before="60"/>
        <w:jc w:val="center"/>
        <w:rPr>
          <w:rFonts w:ascii="Arial" w:hAnsi="Arial"/>
          <w:b/>
          <w:lang w:val="en-US" w:eastAsia="zh-CN"/>
        </w:rPr>
      </w:pPr>
      <w:r>
        <w:rPr>
          <w:rFonts w:ascii="Arial" w:hAnsi="Arial"/>
          <w:b/>
        </w:rPr>
        <w:t>Table 6.2.2.</w:t>
      </w:r>
      <w:r>
        <w:rPr>
          <w:rFonts w:hint="eastAsia" w:ascii="Arial" w:hAnsi="Arial"/>
          <w:b/>
          <w:lang w:val="en-US" w:eastAsia="zh-CN"/>
        </w:rPr>
        <w:t>2</w:t>
      </w:r>
      <w:r>
        <w:rPr>
          <w:rFonts w:ascii="Arial" w:hAnsi="Arial"/>
          <w:b/>
        </w:rPr>
        <w:t xml:space="preserve">-1: system parameters for ATG </w:t>
      </w:r>
      <w:r>
        <w:rPr>
          <w:rFonts w:hint="eastAsia" w:ascii="Arial" w:hAnsi="Arial"/>
          <w:b/>
          <w:lang w:val="en-US" w:eastAsia="zh-CN"/>
        </w:rPr>
        <w:t>UE</w:t>
      </w:r>
    </w:p>
    <w:tbl>
      <w:tblPr>
        <w:tblStyle w:val="49"/>
        <w:tblW w:w="59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7"/>
        <w:gridCol w:w="4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altitude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sz w:val="18"/>
              </w:rPr>
              <w:t>Vertical: Distributed between 3km and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 xml:space="preserve">Carrier frequency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cs="宋体"/>
                <w:sz w:val="18"/>
                <w:szCs w:val="24"/>
              </w:rPr>
              <w:t>2</w:t>
            </w:r>
            <w:r>
              <w:rPr>
                <w:rFonts w:hint="eastAsia" w:ascii="Arial" w:hAnsi="Arial" w:eastAsia="宋体" w:cs="宋体"/>
                <w:sz w:val="18"/>
                <w:szCs w:val="24"/>
                <w:lang w:eastAsia="zh-CN"/>
              </w:rPr>
              <w:t>GHz</w:t>
            </w:r>
            <w:r>
              <w:rPr>
                <w:rFonts w:ascii="Arial" w:hAnsi="Arial" w:cs="宋体"/>
                <w:sz w:val="18"/>
                <w:szCs w:val="24"/>
              </w:rPr>
              <w:t xml:space="preserve">, </w:t>
            </w:r>
            <w:r>
              <w:rPr>
                <w:rFonts w:hint="eastAsia" w:ascii="Arial" w:hAnsi="Arial" w:eastAsia="宋体" w:cs="宋体"/>
                <w:sz w:val="18"/>
                <w:szCs w:val="24"/>
                <w:lang w:eastAsia="zh-CN"/>
              </w:rPr>
              <w:t>4</w:t>
            </w:r>
            <w:r>
              <w:rPr>
                <w:rFonts w:ascii="Arial" w:hAnsi="Arial" w:cs="宋体"/>
                <w:sz w:val="18"/>
                <w:szCs w:val="24"/>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max TX power in dBm</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40dBm TRP for 2GHz</w:t>
            </w:r>
          </w:p>
          <w:p>
            <w:pPr>
              <w:keepNext/>
              <w:keepLines/>
              <w:spacing w:before="100" w:beforeAutospacing="1" w:after="100" w:afterAutospacing="1"/>
              <w:rPr>
                <w:rFonts w:ascii="Arial" w:hAnsi="Arial" w:eastAsia="宋体" w:cs="宋体"/>
                <w:sz w:val="18"/>
                <w:szCs w:val="24"/>
                <w:lang w:eastAsia="zh-CN"/>
              </w:rPr>
            </w:pPr>
            <w:r>
              <w:rPr>
                <w:rFonts w:ascii="Arial" w:hAnsi="Arial" w:cs="宋体"/>
                <w:sz w:val="18"/>
                <w:szCs w:val="24"/>
              </w:rPr>
              <w:t>43dBm EIRP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rPr>
              <w:t xml:space="preserve">ATG </w:t>
            </w:r>
            <w:r>
              <w:rPr>
                <w:rFonts w:ascii="Arial" w:hAnsi="Arial" w:cs="宋体"/>
                <w:sz w:val="18"/>
                <w:szCs w:val="24"/>
              </w:rPr>
              <w:t>UE min TX power in dBm</w:t>
            </w:r>
          </w:p>
        </w:tc>
        <w:tc>
          <w:tcPr>
            <w:tcW w:w="4900" w:type="dxa"/>
            <w:tcMar>
              <w:top w:w="28" w:type="dxa"/>
              <w:bottom w:w="28" w:type="dxa"/>
            </w:tcMar>
            <w:vAlign w:val="center"/>
          </w:tcPr>
          <w:p>
            <w:r>
              <w:rPr>
                <w:rFonts w:hint="eastAsia"/>
              </w:rPr>
              <w:t>-33dBm for 100MHz</w:t>
            </w:r>
          </w:p>
          <w:p>
            <w:r>
              <w:rPr>
                <w:rFonts w:hint="eastAsia"/>
              </w:rPr>
              <w:t>-40dBm for 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noise figure</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eastAsia="宋体" w:cs="宋体"/>
                <w:sz w:val="18"/>
                <w:szCs w:val="24"/>
                <w:lang w:eastAsia="zh-CN"/>
              </w:rPr>
              <w:t>9dB</w:t>
            </w:r>
          </w:p>
        </w:tc>
      </w:tr>
    </w:tbl>
    <w:p/>
    <w:p>
      <w:pPr>
        <w:pStyle w:val="5"/>
        <w:keepNext/>
        <w:keepLines/>
        <w:spacing w:before="120"/>
        <w:ind w:left="1418"/>
        <w:outlineLvl w:val="3"/>
      </w:pPr>
      <w:bookmarkStart w:id="210" w:name="_Toc8872"/>
      <w:bookmarkStart w:id="211" w:name="_Toc2429"/>
      <w:bookmarkStart w:id="212" w:name="_Toc2489"/>
      <w:bookmarkStart w:id="213" w:name="_Toc1382"/>
      <w:bookmarkStart w:id="214" w:name="_Toc3733"/>
      <w:bookmarkStart w:id="215" w:name="_Toc23863"/>
      <w:bookmarkStart w:id="216" w:name="_Toc12644"/>
      <w:bookmarkStart w:id="217" w:name="_Toc21770"/>
      <w:r>
        <w:rPr>
          <w:rFonts w:hint="eastAsia"/>
        </w:rPr>
        <w:t xml:space="preserve">6.2.2.3 </w:t>
      </w:r>
      <w:r>
        <w:t>TN BS and UE parameters</w:t>
      </w:r>
      <w:bookmarkEnd w:id="210"/>
      <w:bookmarkEnd w:id="211"/>
      <w:bookmarkEnd w:id="212"/>
      <w:bookmarkEnd w:id="213"/>
      <w:bookmarkEnd w:id="214"/>
      <w:bookmarkEnd w:id="215"/>
      <w:bookmarkEnd w:id="216"/>
      <w:bookmarkEnd w:id="217"/>
    </w:p>
    <w:p>
      <w:pPr>
        <w:rPr>
          <w:lang w:eastAsia="zh-CN"/>
        </w:rPr>
      </w:pPr>
      <w:r>
        <w:rPr>
          <w:lang w:eastAsia="zh-CN"/>
        </w:rPr>
        <w:t>The system parameters for TN BS and TN UE are assumed as below.</w:t>
      </w:r>
    </w:p>
    <w:p>
      <w:pPr>
        <w:keepNext/>
        <w:keepLines/>
        <w:spacing w:before="60"/>
        <w:jc w:val="center"/>
        <w:rPr>
          <w:rFonts w:ascii="Arial" w:hAnsi="Arial"/>
          <w:b/>
        </w:rPr>
      </w:pPr>
      <w:r>
        <w:rPr>
          <w:rFonts w:ascii="Arial" w:hAnsi="Arial"/>
          <w:b/>
        </w:rPr>
        <w:t>Table 6.2.2.3-1: system parameters for TN BS and UE</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0"/>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b/>
                <w:sz w:val="18"/>
                <w:lang w:eastAsia="ja-JP"/>
              </w:rPr>
            </w:pPr>
            <w:r>
              <w:rPr>
                <w:rFonts w:ascii="Arial" w:hAnsi="Arial" w:eastAsia="MS Mincho"/>
                <w:b/>
                <w:sz w:val="18"/>
              </w:rPr>
              <w:t>Parameters</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Carrier frequency</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bCs/>
                <w:sz w:val="18"/>
                <w:lang w:eastAsia="zh-CN"/>
              </w:rPr>
            </w:pPr>
            <w:r>
              <w:rPr>
                <w:rFonts w:ascii="Arial" w:hAnsi="Arial" w:eastAsia="宋体"/>
                <w:bCs/>
                <w:sz w:val="18"/>
                <w:lang w:eastAsia="zh-CN"/>
              </w:rPr>
              <w:t>2GHz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ascii="Arial" w:hAnsi="Arial" w:eastAsia="宋体"/>
                <w:sz w:val="18"/>
                <w:lang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Channel bandwidth</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0MHz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(DL)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(UL)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The number of active UE (DL)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eastAsia="MS Mincho"/>
                <w:sz w:val="18"/>
                <w:lang w:eastAsia="ja-JP"/>
              </w:rPr>
              <w:t>The number of active UE (UL)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f</w:t>
            </w:r>
            <w:r>
              <w:rPr>
                <w:rFonts w:ascii="Arial" w:hAnsi="Arial" w:eastAsia="宋体"/>
                <w:sz w:val="18"/>
                <w:lang w:eastAsia="zh-CN"/>
              </w:rPr>
              <w:t>ull buffer</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hint="eastAsia" w:ascii="Arial" w:hAnsi="Arial" w:eastAsia="宋体"/>
                <w:sz w:val="18"/>
                <w:lang w:eastAsia="zh-CN"/>
              </w:rPr>
              <w:t>f</w:t>
            </w:r>
            <w:r>
              <w:rPr>
                <w:rFonts w:ascii="Arial" w:hAnsi="Arial" w:eastAsia="宋体"/>
                <w:sz w:val="18"/>
                <w:lang w:eastAsia="zh-CN"/>
              </w:rPr>
              <w:t>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DL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sz w:val="18"/>
                <w:lang w:eastAsia="ja-JP"/>
              </w:rPr>
              <w:t>UL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hint="eastAsia" w:ascii="Arial" w:hAnsi="Arial"/>
                <w:sz w:val="18"/>
                <w:lang w:eastAsia="zh-CN"/>
              </w:rPr>
              <w:t>U</w:t>
            </w:r>
            <w:r>
              <w:rPr>
                <w:rFonts w:ascii="Arial" w:hAnsi="Arial"/>
                <w:sz w:val="18"/>
                <w:lang w:eastAsia="zh-CN"/>
              </w:rPr>
              <w:t>L target SNR (NOTE 3)</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zh-CN"/>
              </w:rPr>
              <w:t>53dBm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max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min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MS Mincho"/>
                <w:sz w:val="18"/>
                <w:lang w:eastAsia="ja-JP"/>
              </w:rPr>
            </w:pPr>
            <w:r>
              <w:rPr>
                <w:rFonts w:hint="eastAsia" w:ascii="Arial" w:hAnsi="Arial" w:eastAsia="宋体"/>
                <w:sz w:val="18"/>
                <w:lang w:eastAsia="zh-CN"/>
              </w:rPr>
              <w:t>3</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79"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ind w:left="851" w:hanging="851"/>
              <w:rPr>
                <w:rFonts w:ascii="Arial" w:hAnsi="Arial" w:eastAsia="宋体"/>
                <w:sz w:val="18"/>
                <w:lang w:val="en-US"/>
              </w:rPr>
            </w:pPr>
            <w:r>
              <w:rPr>
                <w:rFonts w:ascii="Arial" w:hAnsi="Arial" w:eastAsia="MS Mincho"/>
                <w:sz w:val="18"/>
                <w:lang w:eastAsia="ja-JP"/>
              </w:rPr>
              <w:t xml:space="preserve">NOTE 1: </w:t>
            </w:r>
            <w:r>
              <w:rPr>
                <w:rFonts w:ascii="Arial" w:hAnsi="Arial" w:eastAsia="MS Mincho"/>
                <w:sz w:val="18"/>
                <w:lang w:eastAsia="ja-JP"/>
              </w:rPr>
              <w:tab/>
            </w:r>
            <w:r>
              <w:rPr>
                <w:rFonts w:ascii="Arial" w:hAnsi="Arial" w:eastAsia="MS Mincho"/>
                <w:sz w:val="18"/>
                <w:lang w:eastAsia="ja-JP"/>
              </w:rPr>
              <w:t>Same as the number of BS beam(s)</w:t>
            </w:r>
            <w:r>
              <w:rPr>
                <w:rFonts w:ascii="Arial" w:hAnsi="Arial"/>
                <w:sz w:val="18"/>
                <w:lang w:val="en-US"/>
              </w:rPr>
              <w:t>.</w:t>
            </w:r>
          </w:p>
          <w:p>
            <w:pPr>
              <w:keepNext/>
              <w:keepLines/>
              <w:spacing w:after="0"/>
              <w:ind w:left="851" w:hanging="851"/>
              <w:rPr>
                <w:rFonts w:ascii="Arial" w:hAnsi="Arial"/>
                <w:sz w:val="18"/>
                <w:lang w:val="en-US"/>
              </w:rPr>
            </w:pPr>
            <w:r>
              <w:rPr>
                <w:rFonts w:ascii="Arial" w:hAnsi="Arial" w:eastAsia="MS Mincho"/>
                <w:sz w:val="18"/>
                <w:lang w:eastAsia="ja-JP"/>
              </w:rPr>
              <w:t>NOTE 2:</w:t>
            </w:r>
            <w:r>
              <w:rPr>
                <w:rFonts w:ascii="Arial" w:hAnsi="Arial" w:eastAsia="MS Mincho"/>
                <w:sz w:val="18"/>
                <w:lang w:eastAsia="ja-JP"/>
              </w:rPr>
              <w:tab/>
            </w:r>
            <w:r>
              <w:rPr>
                <w:rFonts w:ascii="Arial" w:hAnsi="Arial" w:eastAsia="MS Mincho"/>
                <w:sz w:val="18"/>
                <w:lang w:eastAsia="ja-JP"/>
              </w:rPr>
              <w:t xml:space="preserve">TN </w:t>
            </w:r>
            <w:r>
              <w:rPr>
                <w:rFonts w:ascii="Arial" w:hAnsi="Arial"/>
                <w:sz w:val="18"/>
                <w:lang w:val="en-US"/>
              </w:rPr>
              <w:t>BS max TX power is defined as the sum over both polarizations.</w:t>
            </w:r>
          </w:p>
          <w:p>
            <w:pPr>
              <w:keepNext/>
              <w:keepLines/>
              <w:spacing w:after="0"/>
              <w:ind w:left="851" w:hanging="851"/>
              <w:rPr>
                <w:rFonts w:ascii="Arial" w:hAnsi="Arial"/>
                <w:sz w:val="18"/>
                <w:lang w:val="en-US"/>
              </w:rPr>
            </w:pPr>
            <w:r>
              <w:rPr>
                <w:rFonts w:hint="eastAsia" w:ascii="Arial" w:hAnsi="Arial"/>
                <w:sz w:val="18"/>
                <w:lang w:val="en-US" w:eastAsia="zh-CN"/>
              </w:rPr>
              <w:t>N</w:t>
            </w:r>
            <w:r>
              <w:rPr>
                <w:rFonts w:ascii="Arial" w:hAnsi="Arial"/>
                <w:sz w:val="18"/>
                <w:lang w:val="en-US" w:eastAsia="zh-CN"/>
              </w:rPr>
              <w:t>OTE 3:  Target SNR for simulation is based on CL values and only compensates pathloss in the simulation assumptions.</w:t>
            </w:r>
          </w:p>
          <w:p>
            <w:pPr>
              <w:keepNext/>
              <w:keepLines/>
              <w:spacing w:after="0"/>
              <w:rPr>
                <w:rFonts w:ascii="Arial" w:hAnsi="Arial" w:eastAsia="宋体"/>
                <w:sz w:val="18"/>
                <w:lang w:val="en-US" w:eastAsia="zh-CN"/>
              </w:rPr>
            </w:pPr>
          </w:p>
        </w:tc>
      </w:tr>
    </w:tbl>
    <w:p/>
    <w:p>
      <w:pPr>
        <w:pStyle w:val="4"/>
      </w:pPr>
      <w:bookmarkStart w:id="218" w:name="_Toc133498125"/>
      <w:bookmarkStart w:id="219" w:name="_Toc15115"/>
      <w:bookmarkStart w:id="220" w:name="_Toc27387"/>
      <w:bookmarkStart w:id="221" w:name="_Toc2633"/>
      <w:bookmarkStart w:id="222" w:name="_Toc14280"/>
      <w:bookmarkStart w:id="223" w:name="_Toc15516"/>
      <w:bookmarkStart w:id="224" w:name="_Toc5877"/>
      <w:bookmarkStart w:id="225" w:name="_Toc10635"/>
      <w:bookmarkStart w:id="226" w:name="_Toc5582"/>
      <w:bookmarkStart w:id="227" w:name="_Toc13148"/>
      <w:r>
        <w:rPr>
          <w:rFonts w:hint="eastAsia"/>
          <w:lang w:eastAsia="zh-CN"/>
        </w:rPr>
        <w:t xml:space="preserve">6.2.3 </w:t>
      </w:r>
      <w:r>
        <w:t>Antenna and beamforming pattern modelling</w:t>
      </w:r>
      <w:bookmarkEnd w:id="218"/>
      <w:bookmarkEnd w:id="219"/>
      <w:bookmarkEnd w:id="220"/>
      <w:bookmarkEnd w:id="221"/>
      <w:bookmarkEnd w:id="222"/>
      <w:bookmarkEnd w:id="223"/>
      <w:bookmarkEnd w:id="224"/>
      <w:bookmarkEnd w:id="225"/>
      <w:bookmarkEnd w:id="226"/>
      <w:bookmarkEnd w:id="227"/>
    </w:p>
    <w:p>
      <w:pPr>
        <w:pStyle w:val="5"/>
      </w:pPr>
      <w:bookmarkStart w:id="228" w:name="_Toc26278"/>
      <w:bookmarkStart w:id="229" w:name="_Toc133498126"/>
      <w:bookmarkStart w:id="230" w:name="_Toc9111"/>
      <w:bookmarkStart w:id="231" w:name="_Toc21327"/>
      <w:bookmarkStart w:id="232" w:name="_Toc16217"/>
      <w:bookmarkStart w:id="233" w:name="_Toc934"/>
      <w:bookmarkStart w:id="234" w:name="_Toc29005"/>
      <w:bookmarkStart w:id="235" w:name="_Toc11128"/>
      <w:bookmarkStart w:id="236" w:name="_Toc22297"/>
      <w:bookmarkStart w:id="237" w:name="_Toc19125"/>
      <w:r>
        <w:rPr>
          <w:rFonts w:hint="eastAsia"/>
        </w:rPr>
        <w:t xml:space="preserve">6.2.3.1 </w:t>
      </w:r>
      <w:r>
        <w:t>ATG BS antenna model</w:t>
      </w:r>
      <w:bookmarkEnd w:id="228"/>
      <w:bookmarkEnd w:id="229"/>
      <w:bookmarkEnd w:id="230"/>
      <w:bookmarkEnd w:id="231"/>
      <w:bookmarkEnd w:id="232"/>
      <w:bookmarkEnd w:id="233"/>
      <w:bookmarkEnd w:id="234"/>
      <w:bookmarkEnd w:id="235"/>
      <w:bookmarkEnd w:id="236"/>
      <w:bookmarkEnd w:id="237"/>
    </w:p>
    <w:p>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6"/>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0"/>
        <w:gridCol w:w="5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4" w:type="pct"/>
            <w:tcBorders>
              <w:top w:val="single" w:color="auto" w:sz="4" w:space="0"/>
              <w:left w:val="single" w:color="auto" w:sz="4" w:space="0"/>
              <w:bottom w:val="single" w:color="auto" w:sz="4" w:space="0"/>
              <w:right w:val="single" w:color="auto" w:sz="4" w:space="0"/>
            </w:tcBorders>
            <w:vAlign w:val="center"/>
          </w:tcPr>
          <w:p>
            <w:pPr>
              <w:pStyle w:val="67"/>
            </w:pP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8"/>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Antenna pattern</w:t>
            </w:r>
          </w:p>
        </w:tc>
        <w:tc>
          <w:tcPr>
            <w:tcW w:w="2685" w:type="pct"/>
            <w:tcBorders>
              <w:top w:val="single" w:color="auto" w:sz="4" w:space="0"/>
              <w:left w:val="single" w:color="auto" w:sz="4" w:space="0"/>
              <w:bottom w:val="single" w:color="auto" w:sz="4" w:space="0"/>
              <w:right w:val="single" w:color="auto" w:sz="4" w:space="0"/>
            </w:tcBorders>
          </w:tcPr>
          <w:p>
            <w:pPr>
              <w:pStyle w:val="68"/>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Element gain (dBi)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w:t>
            </w:r>
          </w:p>
        </w:tc>
        <w:tc>
          <w:tcPr>
            <w:tcW w:w="2685" w:type="pct"/>
            <w:tcBorders>
              <w:top w:val="single" w:color="auto" w:sz="4" w:space="0"/>
              <w:left w:val="single" w:color="auto" w:sz="4" w:space="0"/>
              <w:bottom w:val="single" w:color="auto" w:sz="4" w:space="0"/>
            </w:tcBorders>
            <w:vAlign w:val="center"/>
          </w:tcPr>
          <w:p>
            <w:pPr>
              <w:pStyle w:val="68"/>
              <w:rPr>
                <w:rFonts w:eastAsia="宋体"/>
                <w:lang w:eastAsia="zh-CN"/>
              </w:rPr>
            </w:pPr>
            <w:r>
              <w:t>8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rPr>
                <w:rFonts w:cs="Arial"/>
              </w:rPr>
              <w:t xml:space="preserve">Number of supported polarizations, </w:t>
            </w:r>
            <w:r>
              <w:rPr>
                <w:rFonts w:ascii="Cambria Math" w:hAnsi="Cambria Math"/>
                <w:i/>
              </w:rPr>
              <w:t>P</w:t>
            </w:r>
          </w:p>
        </w:tc>
        <w:tc>
          <w:tcPr>
            <w:tcW w:w="2685" w:type="pct"/>
            <w:tcBorders>
              <w:top w:val="single" w:color="auto" w:sz="4" w:space="0"/>
              <w:left w:val="single" w:color="auto" w:sz="4" w:space="0"/>
              <w:bottom w:val="single" w:color="auto" w:sz="4" w:space="0"/>
            </w:tcBorders>
            <w:vAlign w:val="center"/>
          </w:tcPr>
          <w:p>
            <w:pPr>
              <w:pStyle w:val="68"/>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Array Ohmic loss (dB)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Conducted power (before Ohmic loss) per antenna element (dBm) </w:t>
            </w:r>
            <w:r>
              <w:rPr>
                <w:vertAlign w:val="superscript"/>
              </w:rPr>
              <w:t xml:space="preserve">(Note </w:t>
            </w:r>
            <w:r>
              <w:rPr>
                <w:rFonts w:hint="eastAsia" w:eastAsia="宋体"/>
                <w:vertAlign w:val="superscript"/>
                <w:lang w:val="en-US" w:eastAsia="zh-CN"/>
              </w:rPr>
              <w:t>1</w:t>
            </w:r>
            <w:r>
              <w:rPr>
                <w:vertAlign w:val="superscript"/>
              </w:rPr>
              <w:t>)</w:t>
            </w:r>
            <w:r>
              <w:t xml:space="preserv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宋体"/>
                <w:lang w:val="en-US" w:eastAsia="zh-CN"/>
              </w:rPr>
            </w:pPr>
            <w:r>
              <w:t>25</w:t>
            </w:r>
            <w:r>
              <w:rPr>
                <w:rFonts w:hint="eastAsia" w:eastAsia="宋体"/>
                <w:lang w:val="en-US" w:eastAsia="zh-CN"/>
              </w:rPr>
              <w:t xml:space="preserve"> for 2GHz</w:t>
            </w:r>
          </w:p>
          <w:p>
            <w:pPr>
              <w:pStyle w:val="68"/>
              <w:rPr>
                <w:rFonts w:hint="default" w:eastAsia="宋体"/>
                <w:lang w:val="en-US" w:eastAsia="zh-CN"/>
              </w:rPr>
            </w:pPr>
            <w:r>
              <w:rPr>
                <w:rFonts w:hint="eastAsia" w:eastAsia="宋体"/>
                <w:lang w:val="en-US" w:eastAsia="zh-CN"/>
              </w:rPr>
              <w:t>32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Base station maximum coverage angle in the horizontal plane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 xml:space="preserve">Base station vertical coverage range (degrees) </w:t>
            </w:r>
            <w:r>
              <w:rPr>
                <w:vertAlign w:val="superscript"/>
              </w:rPr>
              <w:t xml:space="preserve">(Note </w:t>
            </w:r>
            <w:r>
              <w:rPr>
                <w:rFonts w:hint="eastAsia" w:eastAsia="宋体"/>
                <w:vertAlign w:val="superscript"/>
                <w:lang w:val="en-US" w:eastAsia="zh-CN"/>
              </w:rPr>
              <w:t>2</w:t>
            </w:r>
            <w:r>
              <w:rPr>
                <w:vertAlign w:val="superscript"/>
              </w:rPr>
              <w:t>)</w:t>
            </w:r>
          </w:p>
        </w:tc>
        <w:tc>
          <w:tcPr>
            <w:tcW w:w="2685" w:type="pct"/>
            <w:tcBorders>
              <w:top w:val="single" w:color="auto" w:sz="4" w:space="0"/>
              <w:left w:val="single" w:color="auto" w:sz="4" w:space="0"/>
              <w:bottom w:val="single" w:color="auto" w:sz="4" w:space="0"/>
              <w:right w:val="single" w:color="auto" w:sz="4" w:space="0"/>
            </w:tcBorders>
          </w:tcPr>
          <w:p>
            <w:pPr>
              <w:pStyle w:val="68"/>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6"/>
            </w:pPr>
            <w:r>
              <w:t>Mechanical uptilt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8"/>
            </w:pPr>
            <w:r>
              <w:rPr>
                <w:rFonts w:hint="eastAsia" w:eastAsia="宋体"/>
                <w:lang w:eastAsia="zh-CN"/>
              </w:rPr>
              <w:t xml:space="preserve">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宋体"/>
                <w:lang w:val="en-US" w:eastAsia="zh-CN"/>
              </w:rPr>
              <w:t xml:space="preserve">Note 1: </w:t>
            </w:r>
            <w:r>
              <w:t xml:space="preserve">The conducted power per element assumes </w:t>
            </w:r>
            <w:r>
              <w:rPr>
                <w:rFonts w:hint="eastAsia" w:eastAsia="宋体"/>
                <w:lang w:val="en-US" w:eastAsia="zh-CN"/>
              </w:rPr>
              <w:t>8</w:t>
            </w:r>
            <w:r>
              <w:t>x8x2 elements (i.e. power per H/V polarized element).</w:t>
            </w:r>
          </w:p>
          <w:p>
            <w:pPr>
              <w:pStyle w:val="81"/>
              <w:rPr>
                <w:rFonts w:hint="default" w:eastAsia="宋体"/>
                <w:lang w:val="en-US" w:eastAsia="zh-CN"/>
              </w:rPr>
            </w:pPr>
            <w:r>
              <w:rPr>
                <w:rFonts w:hint="eastAsia" w:eastAsia="宋体"/>
                <w:lang w:val="en-US" w:eastAsia="zh-CN"/>
              </w:rPr>
              <w:t xml:space="preserve">Note 2: </w:t>
            </w:r>
            <w:r>
              <w:t>The vertical coverage range includes the mechanical downtilt.</w:t>
            </w:r>
          </w:p>
        </w:tc>
      </w:tr>
    </w:tbl>
    <w:p>
      <w:pPr>
        <w:rPr>
          <w:b/>
          <w:bCs/>
          <w:u w:val="single"/>
          <w:lang w:eastAsia="zh-CN"/>
        </w:rPr>
      </w:pPr>
    </w:p>
    <w:p>
      <w:pPr>
        <w:rPr>
          <w:b/>
          <w:lang w:eastAsia="zh-CN"/>
        </w:rPr>
      </w:pPr>
      <w:r>
        <w:rPr>
          <w:rFonts w:hint="eastAsia"/>
          <w:b/>
          <w:lang w:eastAsia="zh-CN"/>
        </w:rPr>
        <w:t>Option 2: sub-array model</w:t>
      </w:r>
    </w:p>
    <w:p>
      <w:pPr>
        <w:pStyle w:val="76"/>
        <w:rPr>
          <w:lang w:eastAsia="zh-CN"/>
        </w:rPr>
      </w:pPr>
      <w:r>
        <w:t>Table 6.2.</w:t>
      </w:r>
      <w:r>
        <w:rPr>
          <w:lang w:val="en-US" w:eastAsia="zh-CN"/>
        </w:rPr>
        <w:t>3</w:t>
      </w:r>
      <w:r>
        <w:t>.</w:t>
      </w:r>
      <w:r>
        <w:rPr>
          <w:lang w:val="en-US" w:eastAsia="zh-CN"/>
        </w:rPr>
        <w:t>1</w:t>
      </w:r>
      <w:r>
        <w:t>-</w:t>
      </w:r>
      <w:r>
        <w:rPr>
          <w:rFonts w:hint="eastAsia" w:eastAsia="宋体"/>
          <w:lang w:val="en-US" w:eastAsia="zh-CN"/>
        </w:rPr>
        <w:t>2</w:t>
      </w:r>
      <w:r>
        <w:t>: AAS antenna parameters</w:t>
      </w:r>
      <w:r>
        <w:rPr>
          <w:lang w:val="en-US" w:eastAsia="zh-CN"/>
        </w:rPr>
        <w:t xml:space="preserve"> for sub-array model</w:t>
      </w:r>
    </w:p>
    <w:tbl>
      <w:tblPr>
        <w:tblStyle w:val="4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8"/>
        <w:gridCol w:w="6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7"/>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Element gain </w:t>
            </w:r>
            <w:r>
              <w:rPr>
                <w:lang w:eastAsia="zh-CN"/>
              </w:rPr>
              <w:t>(dBi)</w:t>
            </w:r>
          </w:p>
        </w:tc>
        <w:tc>
          <w:tcPr>
            <w:tcW w:w="3351" w:type="pct"/>
            <w:tcBorders>
              <w:top w:val="single" w:color="auto" w:sz="4" w:space="0"/>
              <w:left w:val="single" w:color="auto" w:sz="4" w:space="0"/>
              <w:bottom w:val="single" w:color="auto" w:sz="4" w:space="0"/>
              <w:right w:val="single" w:color="auto" w:sz="4" w:space="0"/>
            </w:tcBorders>
          </w:tcPr>
          <w:p>
            <w:pPr>
              <w:pStyle w:val="68"/>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Antenna sub-array configuration (Row × Column)</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t>4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rPr>
                <w:lang w:eastAsia="ko-KR"/>
              </w:rPr>
              <w:t xml:space="preserve">Array Ohmic loss (dB)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hint="eastAsia" w:eastAsia="宋体"/>
                <w:vertAlign w:val="superscript"/>
                <w:lang w:val="en-US" w:eastAsia="zh-CN"/>
              </w:rPr>
              <w:t>1</w:t>
            </w:r>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宋体"/>
                <w:lang w:val="en-US" w:eastAsia="zh-CN"/>
              </w:rPr>
            </w:pPr>
            <w:r>
              <w:t>28</w:t>
            </w:r>
            <w:r>
              <w:rPr>
                <w:rFonts w:hint="eastAsia" w:eastAsia="宋体"/>
                <w:lang w:val="en-US" w:eastAsia="zh-CN"/>
              </w:rPr>
              <w:t xml:space="preserve"> for 2GHz</w:t>
            </w:r>
          </w:p>
          <w:p>
            <w:pPr>
              <w:pStyle w:val="68"/>
              <w:rPr>
                <w:rFonts w:hint="eastAsia" w:eastAsia="宋体"/>
                <w:lang w:val="en-US" w:eastAsia="zh-CN"/>
              </w:rPr>
            </w:pPr>
            <w:r>
              <w:rPr>
                <w:rFonts w:hint="eastAsia" w:eastAsia="宋体"/>
                <w:lang w:val="en-US" w:eastAsia="zh-CN"/>
              </w:rPr>
              <w:t>35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Base station vertical coverage range (degrees) </w:t>
            </w:r>
            <w:r>
              <w:rPr>
                <w:vertAlign w:val="superscript"/>
                <w:lang w:eastAsia="ko-KR"/>
              </w:rPr>
              <w:t xml:space="preserve">(Note </w:t>
            </w:r>
            <w:r>
              <w:rPr>
                <w:rFonts w:hint="eastAsia" w:eastAsia="宋体"/>
                <w:vertAlign w:val="superscript"/>
                <w:lang w:val="en-US" w:eastAsia="zh-CN"/>
              </w:rPr>
              <w:t>2</w:t>
            </w:r>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宋体"/>
                <w:lang w:eastAsia="ko-KR"/>
              </w:rPr>
            </w:pPr>
            <w:r>
              <w:rPr>
                <w:rFonts w:hint="eastAsia" w:eastAsia="宋体"/>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宋体"/>
                <w:lang w:val="en-US" w:eastAsia="zh-CN"/>
              </w:rPr>
              <w:t xml:space="preserve">Note 1: </w:t>
            </w:r>
            <w:r>
              <w:t xml:space="preserve">The conducted power per </w:t>
            </w:r>
            <w:r>
              <w:rPr>
                <w:rFonts w:hint="eastAsia" w:eastAsia="宋体"/>
                <w:lang w:val="en-US" w:eastAsia="zh-CN"/>
              </w:rPr>
              <w:t>sub-array</w:t>
            </w:r>
            <w:r>
              <w:t xml:space="preserve"> assumes </w:t>
            </w:r>
            <w:r>
              <w:rPr>
                <w:rFonts w:hint="eastAsia" w:eastAsia="宋体"/>
                <w:lang w:val="en-US" w:eastAsia="zh-CN"/>
              </w:rPr>
              <w:t>4</w:t>
            </w:r>
            <w:r>
              <w:t xml:space="preserve">x8x2 </w:t>
            </w:r>
            <w:r>
              <w:rPr>
                <w:rFonts w:hint="eastAsia" w:eastAsia="宋体"/>
                <w:lang w:val="en-US" w:eastAsia="zh-CN"/>
              </w:rPr>
              <w:t>sub-arrays</w:t>
            </w:r>
            <w:r>
              <w:t xml:space="preserve"> (i.e. power per H/V polarized </w:t>
            </w:r>
            <w:r>
              <w:rPr>
                <w:rFonts w:hint="eastAsia" w:eastAsia="宋体"/>
                <w:lang w:val="en-US" w:eastAsia="zh-CN"/>
              </w:rPr>
              <w:t>sub-array</w:t>
            </w:r>
            <w:r>
              <w:t>).</w:t>
            </w:r>
          </w:p>
          <w:p>
            <w:pPr>
              <w:pStyle w:val="68"/>
              <w:jc w:val="left"/>
              <w:rPr>
                <w:rFonts w:hint="eastAsia" w:eastAsia="宋体"/>
                <w:lang w:val="en-US" w:eastAsia="zh-CN"/>
              </w:rPr>
            </w:pPr>
            <w:r>
              <w:rPr>
                <w:rFonts w:hint="eastAsia" w:eastAsia="宋体"/>
                <w:lang w:val="en-US" w:eastAsia="zh-CN"/>
              </w:rPr>
              <w:t xml:space="preserve">Note 2: </w:t>
            </w:r>
            <w:r>
              <w:t>The vertical coverage range includes the mechanical downtilt.</w:t>
            </w:r>
          </w:p>
        </w:tc>
      </w:tr>
    </w:tbl>
    <w:p/>
    <w:p>
      <w:pPr>
        <w:pStyle w:val="5"/>
      </w:pPr>
      <w:bookmarkStart w:id="238" w:name="_Toc25156"/>
      <w:bookmarkStart w:id="239" w:name="_Toc28632"/>
      <w:bookmarkStart w:id="240" w:name="_Toc2512"/>
      <w:bookmarkStart w:id="241" w:name="_Toc133498127"/>
      <w:bookmarkStart w:id="242" w:name="_Toc29500"/>
      <w:bookmarkStart w:id="243" w:name="_Toc20283"/>
      <w:bookmarkStart w:id="244" w:name="_Toc29961"/>
      <w:bookmarkStart w:id="245" w:name="_Toc10403"/>
      <w:bookmarkStart w:id="246" w:name="_Toc5136"/>
      <w:bookmarkStart w:id="247" w:name="_Toc9005"/>
      <w:r>
        <w:rPr>
          <w:rFonts w:hint="eastAsia"/>
        </w:rPr>
        <w:t xml:space="preserve">6.2.3.2 </w:t>
      </w:r>
      <w:r>
        <w:t>ATG UE antenna model</w:t>
      </w:r>
      <w:bookmarkEnd w:id="238"/>
      <w:bookmarkEnd w:id="239"/>
      <w:bookmarkEnd w:id="240"/>
      <w:bookmarkEnd w:id="241"/>
      <w:bookmarkEnd w:id="242"/>
      <w:bookmarkEnd w:id="243"/>
      <w:bookmarkEnd w:id="244"/>
      <w:bookmarkEnd w:id="245"/>
      <w:bookmarkEnd w:id="246"/>
      <w:bookmarkEnd w:id="247"/>
    </w:p>
    <w:p>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pPr>
        <w:pStyle w:val="74"/>
        <w:rPr>
          <w:lang w:eastAsia="zh-CN"/>
        </w:rPr>
      </w:pPr>
      <w:r>
        <w:rPr>
          <w:lang w:eastAsia="zh-CN"/>
        </w:rPr>
        <w:t>-</w:t>
      </w:r>
      <w:r>
        <w:rPr>
          <w:lang w:eastAsia="zh-CN"/>
        </w:rPr>
        <w:tab/>
      </w:r>
      <w:r>
        <w:rPr>
          <w:lang w:eastAsia="zh-CN"/>
        </w:rPr>
        <w:t xml:space="preserve">Use </w:t>
      </w:r>
      <w:r>
        <w:rPr>
          <w:rFonts w:hint="eastAsia"/>
          <w:lang w:eastAsia="zh-CN"/>
        </w:rPr>
        <w:t xml:space="preserve">following </w:t>
      </w:r>
      <w:r>
        <w:rPr>
          <w:lang w:eastAsia="zh-CN"/>
        </w:rPr>
        <w:t>as the starting point for calibration.</w:t>
      </w:r>
    </w:p>
    <w:p>
      <w:pPr>
        <w:pStyle w:val="76"/>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Style w:val="4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4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rPr>
                <w:lang w:val="en-US" w:eastAsia="zh-CN"/>
              </w:rPr>
            </w:pPr>
            <w:r>
              <w:t>90º for V</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Element gain (dBi)</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rPr>
                <w:lang w:val="en-US" w:eastAsia="zh-CN"/>
              </w:rPr>
            </w:pPr>
            <w:r>
              <w:rPr>
                <w:rFonts w:hint="eastAsia"/>
                <w:lang w:val="en-US" w:eastAsia="zh-CN"/>
              </w:rPr>
              <w:t>30dBc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Linear ±</w:t>
            </w:r>
            <w:r>
              <w:rPr>
                <w:rFonts w:hint="eastAsia"/>
                <w:lang w:val="en-US" w:eastAsia="zh-CN"/>
              </w:rPr>
              <w:t>90</w:t>
            </w:r>
            <w: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x Polarization) </w:t>
            </w:r>
          </w:p>
        </w:tc>
        <w:tc>
          <w:tcPr>
            <w:tcW w:w="2284" w:type="pct"/>
            <w:tcBorders>
              <w:top w:val="single" w:color="auto" w:sz="4" w:space="0"/>
              <w:left w:val="single" w:color="auto" w:sz="4" w:space="0"/>
              <w:bottom w:val="single" w:color="auto" w:sz="4" w:space="0"/>
            </w:tcBorders>
            <w:vAlign w:val="center"/>
          </w:tcPr>
          <w:p>
            <w:pPr>
              <w:pStyle w:val="68"/>
              <w:rPr>
                <w:lang w:val="en-US" w:eastAsia="zh-CN"/>
              </w:rPr>
            </w:pPr>
            <w:r>
              <w:rPr>
                <w:rFonts w:hint="eastAsia"/>
                <w:lang w:val="en-US" w:eastAsia="zh-CN"/>
              </w:rPr>
              <w:t xml:space="preserve"> (8x2x2) or  </w:t>
            </w:r>
          </w:p>
          <w:p>
            <w:pPr>
              <w:pStyle w:val="68"/>
              <w:rPr>
                <w:lang w:val="en-US" w:eastAsia="zh-CN"/>
              </w:rPr>
            </w:pPr>
            <w:r>
              <w:rPr>
                <w:rFonts w:hint="eastAsia"/>
                <w:lang w:val="en-US" w:eastAsia="zh-CN"/>
              </w:rPr>
              <w:t xml:space="preserve">(16x1x2)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w:t>
            </w:r>
            <w:r>
              <w:rPr>
                <w:rFonts w:hint="eastAsia"/>
                <w:lang w:val="en-US" w:eastAsia="zh-CN"/>
              </w:rPr>
              <w:t>5</w:t>
            </w:r>
            <w:r>
              <w:t xml:space="preserve">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6"/>
            </w:pPr>
            <w:r>
              <w:t>UE antenna orientation</w:t>
            </w:r>
          </w:p>
        </w:tc>
        <w:tc>
          <w:tcPr>
            <w:tcW w:w="2284" w:type="pct"/>
            <w:tcBorders>
              <w:top w:val="single" w:color="auto" w:sz="4" w:space="0"/>
              <w:left w:val="single" w:color="auto" w:sz="4" w:space="0"/>
              <w:bottom w:val="single" w:color="auto" w:sz="4" w:space="0"/>
              <w:right w:val="single" w:color="auto" w:sz="4" w:space="0"/>
            </w:tcBorders>
            <w:vAlign w:val="center"/>
          </w:tcPr>
          <w:p>
            <w:pPr>
              <w:pStyle w:val="68"/>
            </w:pPr>
            <w:r>
              <w:t>Single UE panel deployed on the abdomen of the airplane facing downwards and with the longest dimension of the array aligned with the direction of the flight route. The flight route is pointed at the BS.</w:t>
            </w:r>
          </w:p>
        </w:tc>
      </w:tr>
    </w:tbl>
    <w:p/>
    <w:p>
      <w:pPr>
        <w:pStyle w:val="5"/>
      </w:pPr>
      <w:bookmarkStart w:id="248" w:name="_Toc24925"/>
      <w:bookmarkStart w:id="249" w:name="_Toc16464"/>
      <w:bookmarkStart w:id="250" w:name="_Toc133498128"/>
      <w:bookmarkStart w:id="251" w:name="_Toc17039"/>
      <w:bookmarkStart w:id="252" w:name="_Toc26078"/>
      <w:bookmarkStart w:id="253" w:name="_Toc5717"/>
      <w:bookmarkStart w:id="254" w:name="_Toc10747"/>
      <w:bookmarkStart w:id="255" w:name="_Toc16701"/>
      <w:bookmarkStart w:id="256" w:name="_Toc13654"/>
      <w:bookmarkStart w:id="257" w:name="_Toc24042"/>
      <w:r>
        <w:rPr>
          <w:rFonts w:hint="eastAsia"/>
        </w:rPr>
        <w:t xml:space="preserve">6.2.3.3 </w:t>
      </w:r>
      <w:r>
        <w:t>TN BS antenna model</w:t>
      </w:r>
      <w:bookmarkEnd w:id="248"/>
      <w:bookmarkEnd w:id="249"/>
      <w:bookmarkEnd w:id="250"/>
      <w:bookmarkEnd w:id="251"/>
      <w:bookmarkEnd w:id="252"/>
      <w:bookmarkEnd w:id="253"/>
      <w:bookmarkEnd w:id="254"/>
      <w:bookmarkEnd w:id="255"/>
      <w:bookmarkEnd w:id="256"/>
      <w:bookmarkEnd w:id="257"/>
    </w:p>
    <w:p>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6"/>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2"/>
        <w:gridCol w:w="5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5" w:type="pct"/>
            <w:tcBorders>
              <w:top w:val="single" w:color="auto" w:sz="4" w:space="0"/>
              <w:left w:val="single" w:color="auto" w:sz="4" w:space="0"/>
              <w:bottom w:val="single" w:color="auto" w:sz="4" w:space="0"/>
              <w:right w:val="single" w:color="auto" w:sz="4" w:space="0"/>
            </w:tcBorders>
            <w:vAlign w:val="center"/>
          </w:tcPr>
          <w:p>
            <w:pPr>
              <w:pStyle w:val="67"/>
            </w:pPr>
          </w:p>
        </w:tc>
        <w:tc>
          <w:tcPr>
            <w:tcW w:w="2684"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rPr>
                <w:lang w:val="en-US"/>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8"/>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Antenna pattern</w:t>
            </w:r>
          </w:p>
        </w:tc>
        <w:tc>
          <w:tcPr>
            <w:tcW w:w="2684" w:type="pct"/>
            <w:tcBorders>
              <w:top w:val="single" w:color="auto" w:sz="4" w:space="0"/>
              <w:left w:val="single" w:color="auto" w:sz="4" w:space="0"/>
              <w:bottom w:val="single" w:color="auto" w:sz="4" w:space="0"/>
              <w:right w:val="single" w:color="auto" w:sz="4" w:space="0"/>
            </w:tcBorders>
          </w:tcPr>
          <w:p>
            <w:pPr>
              <w:pStyle w:val="68"/>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Element gain (dBi)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Horizontal/vertical 3 dB beam width of single element (degree)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90º for H</w:t>
            </w:r>
          </w:p>
          <w:p>
            <w:pPr>
              <w:pStyle w:val="68"/>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Horizontal/vertical front</w:t>
            </w:r>
            <w:r>
              <w:noBreakHyphen/>
            </w:r>
            <w:r>
              <w:t>to</w:t>
            </w:r>
            <w:r>
              <w:noBreakHyphen/>
            </w:r>
            <w:r>
              <w:t>back ratio (dB)</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Antenna polarization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Antenna array configuration (Row × Column) </w:t>
            </w:r>
          </w:p>
        </w:tc>
        <w:tc>
          <w:tcPr>
            <w:tcW w:w="2684" w:type="pct"/>
            <w:tcBorders>
              <w:top w:val="single" w:color="auto" w:sz="4" w:space="0"/>
              <w:left w:val="single" w:color="auto" w:sz="4" w:space="0"/>
              <w:bottom w:val="single" w:color="auto" w:sz="4" w:space="0"/>
            </w:tcBorders>
            <w:vAlign w:val="center"/>
          </w:tcPr>
          <w:p>
            <w:pPr>
              <w:pStyle w:val="68"/>
              <w:rPr>
                <w:lang w:val="en-US"/>
              </w:rPr>
            </w:pPr>
            <w:r>
              <w:t>8 × 8 elements</w:t>
            </w:r>
            <w:r>
              <w:rPr>
                <w:lang w:val="en-US"/>
              </w:rPr>
              <w:t xml:space="preserve"> AAS</w:t>
            </w:r>
          </w:p>
          <w:p>
            <w:pPr>
              <w:pStyle w:val="68"/>
              <w:rPr>
                <w:rFonts w:eastAsia="宋体"/>
                <w:lang w:val="en-US" w:eastAsia="zh-CN"/>
              </w:rPr>
            </w:pPr>
            <w:r>
              <w:rPr>
                <w:rFonts w:hint="eastAsia" w:eastAsia="宋体"/>
                <w:lang w:val="en-US" w:eastAsia="zh-CN"/>
              </w:rPr>
              <w:t xml:space="preserve">Optional: </w:t>
            </w:r>
            <w:r>
              <w:rPr>
                <w:lang w:val="en-US"/>
              </w:rPr>
              <w:t>8 x 1 elements non 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rPr>
                <w:rFonts w:cs="Arial"/>
              </w:rPr>
              <w:t xml:space="preserve">Number of supported polarizations, </w:t>
            </w:r>
            <w:r>
              <w:rPr>
                <w:rFonts w:ascii="Cambria Math" w:hAnsi="Cambria Math"/>
                <w:i/>
              </w:rPr>
              <w:t>P</w:t>
            </w:r>
          </w:p>
        </w:tc>
        <w:tc>
          <w:tcPr>
            <w:tcW w:w="2684" w:type="pct"/>
            <w:tcBorders>
              <w:top w:val="single" w:color="auto" w:sz="4" w:space="0"/>
              <w:left w:val="single" w:color="auto" w:sz="4" w:space="0"/>
              <w:bottom w:val="single" w:color="auto" w:sz="4" w:space="0"/>
            </w:tcBorders>
            <w:vAlign w:val="center"/>
          </w:tcPr>
          <w:p>
            <w:pPr>
              <w:pStyle w:val="68"/>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element spacing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Array Ohmic loss (dB)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Conducted power (before Ohmic loss) per antenna element (dBm) </w:t>
            </w:r>
            <w:r>
              <w:rPr>
                <w:vertAlign w:val="superscript"/>
              </w:rPr>
              <w:t xml:space="preserve">(Note </w:t>
            </w:r>
            <w:r>
              <w:rPr>
                <w:rFonts w:hint="eastAsia" w:eastAsia="宋体"/>
                <w:vertAlign w:val="superscript"/>
                <w:lang w:val="en-US" w:eastAsia="zh-CN"/>
              </w:rPr>
              <w:t>1</w:t>
            </w:r>
            <w:r>
              <w:rPr>
                <w:vertAlign w:val="superscript"/>
              </w:rPr>
              <w:t>)</w:t>
            </w:r>
            <w:r>
              <w:t xml:space="preserv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宋体"/>
                <w:lang w:val="en-US" w:eastAsia="zh-CN"/>
              </w:rPr>
            </w:pPr>
            <w:r>
              <w:t>25</w:t>
            </w:r>
            <w:r>
              <w:rPr>
                <w:rFonts w:hint="eastAsia" w:eastAsia="宋体"/>
                <w:lang w:val="en-US" w:eastAsia="zh-CN"/>
              </w:rPr>
              <w:t xml:space="preserve"> for 2GHz</w:t>
            </w:r>
          </w:p>
          <w:p>
            <w:pPr>
              <w:pStyle w:val="68"/>
              <w:rPr>
                <w:rFonts w:hint="eastAsia" w:eastAsia="宋体"/>
                <w:lang w:val="en-US" w:eastAsia="zh-CN"/>
              </w:rPr>
            </w:pPr>
            <w:r>
              <w:rPr>
                <w:rFonts w:hint="eastAsia" w:eastAsia="宋体"/>
                <w:lang w:val="en-US" w:eastAsia="zh-CN"/>
              </w:rPr>
              <w:t>32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Base station maximum coverage angle in the horizontal plane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Base station vertical coverage range (degrees) </w:t>
            </w:r>
            <w:r>
              <w:rPr>
                <w:vertAlign w:val="superscript"/>
              </w:rPr>
              <w:t xml:space="preserve">(Note </w:t>
            </w:r>
            <w:r>
              <w:rPr>
                <w:rFonts w:hint="eastAsia" w:eastAsia="宋体"/>
                <w:vertAlign w:val="superscript"/>
                <w:lang w:val="en-US" w:eastAsia="zh-CN"/>
              </w:rPr>
              <w:t>2</w:t>
            </w:r>
            <w:r>
              <w:rPr>
                <w:vertAlign w:val="superscript"/>
              </w:rPr>
              <w:t>)</w:t>
            </w:r>
          </w:p>
        </w:tc>
        <w:tc>
          <w:tcPr>
            <w:tcW w:w="2684" w:type="pct"/>
            <w:tcBorders>
              <w:top w:val="single" w:color="auto" w:sz="4" w:space="0"/>
              <w:left w:val="single" w:color="auto" w:sz="4" w:space="0"/>
              <w:bottom w:val="single" w:color="auto" w:sz="4" w:space="0"/>
              <w:right w:val="single" w:color="auto" w:sz="4" w:space="0"/>
            </w:tcBorders>
          </w:tcPr>
          <w:p>
            <w:pPr>
              <w:pStyle w:val="68"/>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6"/>
            </w:pPr>
            <w:r>
              <w:t xml:space="preserve">Mechanical </w:t>
            </w:r>
            <w:r>
              <w:rPr>
                <w:lang w:val="en-US"/>
              </w:rPr>
              <w:t>down</w:t>
            </w:r>
            <w:r>
              <w:t xml:space="preserv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8"/>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宋体"/>
                <w:lang w:val="en-US" w:eastAsia="zh-CN"/>
              </w:rPr>
              <w:t xml:space="preserve">Note 1: </w:t>
            </w:r>
            <w:r>
              <w:t xml:space="preserve">The conducted power per element assumes </w:t>
            </w:r>
            <w:r>
              <w:rPr>
                <w:rFonts w:hint="eastAsia" w:eastAsia="宋体"/>
                <w:lang w:val="en-US" w:eastAsia="zh-CN"/>
              </w:rPr>
              <w:t>8</w:t>
            </w:r>
            <w:r>
              <w:t>x8x2 elements (i.e. power per H/V polarized element).</w:t>
            </w:r>
          </w:p>
          <w:p>
            <w:pPr>
              <w:pStyle w:val="68"/>
              <w:jc w:val="left"/>
              <w:rPr>
                <w:lang w:val="en-US"/>
              </w:rPr>
            </w:pPr>
            <w:r>
              <w:rPr>
                <w:rFonts w:hint="eastAsia" w:eastAsia="宋体"/>
                <w:lang w:val="en-US" w:eastAsia="zh-CN"/>
              </w:rPr>
              <w:t xml:space="preserve">Note 2: </w:t>
            </w:r>
            <w:r>
              <w:t>The vertical coverage range includes the mechanical downtilt.</w:t>
            </w:r>
          </w:p>
        </w:tc>
      </w:tr>
    </w:tbl>
    <w:p>
      <w:pPr>
        <w:rPr>
          <w:b/>
          <w:bCs/>
          <w:u w:val="single"/>
          <w:lang w:eastAsia="zh-CN"/>
        </w:rPr>
      </w:pPr>
    </w:p>
    <w:p>
      <w:pPr>
        <w:rPr>
          <w:b/>
          <w:lang w:eastAsia="zh-CN"/>
        </w:rPr>
      </w:pPr>
      <w:r>
        <w:rPr>
          <w:rFonts w:hint="eastAsia"/>
          <w:b/>
          <w:lang w:eastAsia="zh-CN"/>
        </w:rPr>
        <w:t>Option 2: sub-array model</w:t>
      </w:r>
    </w:p>
    <w:p>
      <w:pPr>
        <w:pStyle w:val="76"/>
        <w:rPr>
          <w:lang w:eastAsia="zh-CN"/>
        </w:rPr>
      </w:pPr>
      <w:r>
        <w:t>Table 6.2.</w:t>
      </w:r>
      <w:r>
        <w:rPr>
          <w:lang w:val="en-US" w:eastAsia="zh-CN"/>
        </w:rPr>
        <w:t>3</w:t>
      </w:r>
      <w:r>
        <w:t>.</w:t>
      </w:r>
      <w:r>
        <w:rPr>
          <w:lang w:val="en-US" w:eastAsia="zh-CN"/>
        </w:rPr>
        <w:t>3</w:t>
      </w:r>
      <w:r>
        <w:t>-</w:t>
      </w:r>
      <w:r>
        <w:rPr>
          <w:rFonts w:hint="eastAsia" w:eastAsia="宋体"/>
          <w:lang w:val="en-US" w:eastAsia="zh-CN"/>
        </w:rPr>
        <w:t>2</w:t>
      </w:r>
      <w:r>
        <w:t xml:space="preserve">: </w:t>
      </w:r>
      <w:r>
        <w:rPr>
          <w:lang w:val="en-US"/>
        </w:rPr>
        <w:t>A</w:t>
      </w:r>
      <w:r>
        <w:t>ntenna parameters</w:t>
      </w:r>
      <w:r>
        <w:rPr>
          <w:lang w:val="en-US" w:eastAsia="zh-CN"/>
        </w:rPr>
        <w:t xml:space="preserve"> for sub-array model</w:t>
      </w:r>
    </w:p>
    <w:tbl>
      <w:tblPr>
        <w:tblStyle w:val="4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48"/>
        <w:gridCol w:w="6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7"/>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Element gain </w:t>
            </w:r>
            <w:r>
              <w:rPr>
                <w:lang w:eastAsia="zh-CN"/>
              </w:rPr>
              <w:t xml:space="preserve">(dBi) </w:t>
            </w:r>
          </w:p>
        </w:tc>
        <w:tc>
          <w:tcPr>
            <w:tcW w:w="3351" w:type="pct"/>
            <w:tcBorders>
              <w:top w:val="single" w:color="auto" w:sz="4" w:space="0"/>
              <w:left w:val="single" w:color="auto" w:sz="4" w:space="0"/>
              <w:bottom w:val="single" w:color="auto" w:sz="4" w:space="0"/>
              <w:right w:val="single" w:color="auto" w:sz="4" w:space="0"/>
            </w:tcBorders>
          </w:tcPr>
          <w:p>
            <w:pPr>
              <w:pStyle w:val="68"/>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Antenna sub-array configuration (Row × Column)</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lang w:val="en-US"/>
              </w:rPr>
            </w:pPr>
            <w:r>
              <w:t>4 × 8 elements</w:t>
            </w:r>
            <w:r>
              <w:rPr>
                <w:lang w:val="en-US"/>
              </w:rPr>
              <w:t xml:space="preserve"> AAS</w:t>
            </w:r>
          </w:p>
          <w:p>
            <w:pPr>
              <w:pStyle w:val="68"/>
              <w:rPr>
                <w:rFonts w:eastAsia="Calibri"/>
                <w:lang w:val="en-US" w:eastAsia="ko-KR"/>
              </w:rPr>
            </w:pPr>
            <w:r>
              <w:rPr>
                <w:rFonts w:hint="eastAsia" w:eastAsia="宋体"/>
                <w:lang w:val="en-US" w:eastAsia="zh-CN"/>
              </w:rPr>
              <w:t xml:space="preserve">Optional: </w:t>
            </w:r>
            <w:r>
              <w:rPr>
                <w:lang w:val="en-US"/>
              </w:rPr>
              <w:t>4x1 elements non-AAS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pPr>
            <w:r>
              <w:rPr>
                <w:lang w:eastAsia="ko-KR"/>
              </w:rPr>
              <w:t xml:space="preserve">Array Ohmic loss (dB)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hint="eastAsia" w:eastAsia="宋体"/>
                <w:vertAlign w:val="superscript"/>
                <w:lang w:val="en-US" w:eastAsia="zh-CN"/>
              </w:rPr>
              <w:t>1</w:t>
            </w:r>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hint="eastAsia" w:eastAsia="宋体"/>
                <w:lang w:val="en-US" w:eastAsia="zh-CN"/>
              </w:rPr>
            </w:pPr>
            <w:r>
              <w:t>28</w:t>
            </w:r>
            <w:r>
              <w:rPr>
                <w:rFonts w:hint="eastAsia" w:eastAsia="宋体"/>
                <w:lang w:val="en-US" w:eastAsia="zh-CN"/>
              </w:rPr>
              <w:t xml:space="preserve"> for 2GHz</w:t>
            </w:r>
          </w:p>
          <w:p>
            <w:pPr>
              <w:pStyle w:val="68"/>
              <w:rPr>
                <w:rFonts w:hint="default" w:eastAsia="宋体"/>
                <w:lang w:val="en-US" w:eastAsia="zh-CN"/>
              </w:rPr>
            </w:pPr>
            <w:r>
              <w:rPr>
                <w:rFonts w:hint="eastAsia" w:eastAsia="宋体"/>
                <w:lang w:val="en-US" w:eastAsia="zh-CN"/>
              </w:rPr>
              <w:t>35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Base station vertical coverage range (degrees) </w:t>
            </w:r>
            <w:r>
              <w:rPr>
                <w:vertAlign w:val="superscript"/>
                <w:lang w:eastAsia="ko-KR"/>
              </w:rPr>
              <w:t xml:space="preserve">(Note </w:t>
            </w:r>
            <w:r>
              <w:rPr>
                <w:rFonts w:hint="eastAsia" w:eastAsia="宋体"/>
                <w:vertAlign w:val="superscript"/>
                <w:lang w:val="en-US" w:eastAsia="zh-CN"/>
              </w:rPr>
              <w:t>2</w:t>
            </w:r>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6"/>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8"/>
              <w:rPr>
                <w:rFonts w:eastAsia="宋体"/>
                <w:lang w:eastAsia="ko-KR"/>
              </w:rPr>
            </w:pPr>
            <w:r>
              <w:rPr>
                <w:rFonts w:eastAsia="宋体"/>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000" w:type="pct"/>
            <w:gridSpan w:val="2"/>
            <w:tcBorders>
              <w:top w:val="single" w:color="auto" w:sz="4" w:space="0"/>
              <w:left w:val="single" w:color="auto" w:sz="4" w:space="0"/>
              <w:bottom w:val="single" w:color="auto" w:sz="4" w:space="0"/>
              <w:right w:val="single" w:color="auto" w:sz="4" w:space="0"/>
            </w:tcBorders>
          </w:tcPr>
          <w:p>
            <w:pPr>
              <w:pStyle w:val="81"/>
            </w:pPr>
            <w:r>
              <w:rPr>
                <w:rFonts w:hint="eastAsia" w:eastAsia="宋体"/>
                <w:lang w:val="en-US" w:eastAsia="zh-CN"/>
              </w:rPr>
              <w:t xml:space="preserve">Note 1: </w:t>
            </w:r>
            <w:r>
              <w:t xml:space="preserve">The conducted power per </w:t>
            </w:r>
            <w:r>
              <w:rPr>
                <w:rFonts w:hint="eastAsia" w:eastAsia="宋体"/>
                <w:lang w:val="en-US" w:eastAsia="zh-CN"/>
              </w:rPr>
              <w:t>sub-array</w:t>
            </w:r>
            <w:r>
              <w:t xml:space="preserve"> assumes </w:t>
            </w:r>
            <w:r>
              <w:rPr>
                <w:rFonts w:hint="eastAsia" w:eastAsia="宋体"/>
                <w:lang w:val="en-US" w:eastAsia="zh-CN"/>
              </w:rPr>
              <w:t>4</w:t>
            </w:r>
            <w:r>
              <w:t xml:space="preserve">x8x2 </w:t>
            </w:r>
            <w:r>
              <w:rPr>
                <w:rFonts w:hint="eastAsia" w:eastAsia="宋体"/>
                <w:lang w:val="en-US" w:eastAsia="zh-CN"/>
              </w:rPr>
              <w:t>sub-arrays</w:t>
            </w:r>
            <w:r>
              <w:t xml:space="preserve"> (i.e. power per H/V polarized </w:t>
            </w:r>
            <w:r>
              <w:rPr>
                <w:rFonts w:hint="eastAsia" w:eastAsia="宋体"/>
                <w:lang w:val="en-US" w:eastAsia="zh-CN"/>
              </w:rPr>
              <w:t>sub-array</w:t>
            </w:r>
            <w:r>
              <w:t>).</w:t>
            </w:r>
          </w:p>
          <w:p>
            <w:pPr>
              <w:pStyle w:val="68"/>
              <w:jc w:val="left"/>
              <w:rPr>
                <w:rFonts w:eastAsia="宋体"/>
                <w:lang w:eastAsia="ko-KR"/>
              </w:rPr>
            </w:pPr>
            <w:r>
              <w:rPr>
                <w:rFonts w:hint="eastAsia" w:eastAsia="宋体"/>
                <w:lang w:val="en-US" w:eastAsia="zh-CN"/>
              </w:rPr>
              <w:t xml:space="preserve">Note 2: </w:t>
            </w:r>
            <w:r>
              <w:t>The vertical coverage range includes the mechanical downtilt.</w:t>
            </w:r>
          </w:p>
        </w:tc>
      </w:tr>
    </w:tbl>
    <w:p/>
    <w:p>
      <w:pPr>
        <w:pStyle w:val="5"/>
      </w:pPr>
      <w:bookmarkStart w:id="258" w:name="_Toc133498129"/>
      <w:bookmarkStart w:id="259" w:name="_Toc18184"/>
      <w:bookmarkStart w:id="260" w:name="_Toc11898"/>
      <w:bookmarkStart w:id="261" w:name="_Toc31836"/>
      <w:bookmarkStart w:id="262" w:name="_Toc9984"/>
      <w:bookmarkStart w:id="263" w:name="_Toc24491"/>
      <w:bookmarkStart w:id="264" w:name="_Toc8548"/>
      <w:bookmarkStart w:id="265" w:name="_Toc15438"/>
      <w:bookmarkStart w:id="266" w:name="_Toc30963"/>
      <w:bookmarkStart w:id="267" w:name="_Toc16951"/>
      <w:r>
        <w:rPr>
          <w:rFonts w:hint="eastAsia"/>
        </w:rPr>
        <w:t>6</w:t>
      </w:r>
      <w:r>
        <w:t>.</w:t>
      </w:r>
      <w:r>
        <w:rPr>
          <w:rFonts w:hint="eastAsia"/>
        </w:rPr>
        <w:t>2</w:t>
      </w:r>
      <w:r>
        <w:t>.</w:t>
      </w:r>
      <w:r>
        <w:rPr>
          <w:rFonts w:hint="eastAsia"/>
        </w:rPr>
        <w:t>3</w:t>
      </w:r>
      <w:r>
        <w:t>.</w:t>
      </w:r>
      <w:r>
        <w:rPr>
          <w:rFonts w:hint="eastAsia"/>
        </w:rPr>
        <w:t xml:space="preserve">4 </w:t>
      </w:r>
      <w:r>
        <w:t>TN UE antenna model</w:t>
      </w:r>
      <w:bookmarkEnd w:id="258"/>
      <w:bookmarkEnd w:id="259"/>
      <w:bookmarkEnd w:id="260"/>
      <w:bookmarkEnd w:id="261"/>
      <w:bookmarkEnd w:id="262"/>
      <w:bookmarkEnd w:id="263"/>
      <w:bookmarkEnd w:id="264"/>
      <w:bookmarkEnd w:id="265"/>
      <w:bookmarkEnd w:id="266"/>
      <w:bookmarkEnd w:id="267"/>
    </w:p>
    <w:p>
      <w:pPr>
        <w:rPr>
          <w:lang w:eastAsia="zh-CN"/>
        </w:rPr>
      </w:pPr>
      <w:r>
        <w:rPr>
          <w:lang w:eastAsia="zh-CN"/>
        </w:rPr>
        <w:t>The following assumption for TN UE antenna is shown as below.</w:t>
      </w:r>
    </w:p>
    <w:p>
      <w:pPr>
        <w:pStyle w:val="76"/>
      </w:pPr>
      <w:r>
        <w:t>Table 6.2.3.4-1: TN handheld UE antenna charateristic</w:t>
      </w:r>
    </w:p>
    <w:tbl>
      <w:tblPr>
        <w:tblStyle w:val="49"/>
        <w:tblW w:w="44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8"/>
        <w:gridCol w:w="4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7"/>
              <w:rPr>
                <w:lang w:eastAsia="ja-JP"/>
              </w:rPr>
            </w:pPr>
            <w:r>
              <w:t>Characteristics</w:t>
            </w:r>
          </w:p>
        </w:tc>
        <w:tc>
          <w:tcPr>
            <w:tcW w:w="2833" w:type="pct"/>
            <w:tcBorders>
              <w:top w:val="single" w:color="auto" w:sz="4" w:space="0"/>
              <w:left w:val="single" w:color="auto" w:sz="4" w:space="0"/>
              <w:bottom w:val="single" w:color="auto" w:sz="4" w:space="0"/>
              <w:right w:val="single" w:color="auto" w:sz="4" w:space="0"/>
            </w:tcBorders>
          </w:tcPr>
          <w:p>
            <w:pPr>
              <w:pStyle w:val="67"/>
            </w:pPr>
            <w:r>
              <w:t>Handheld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Antenna type and configuration</w:t>
            </w:r>
          </w:p>
        </w:tc>
        <w:tc>
          <w:tcPr>
            <w:tcW w:w="2833" w:type="pct"/>
            <w:tcBorders>
              <w:top w:val="single" w:color="auto" w:sz="4" w:space="0"/>
              <w:left w:val="single" w:color="auto" w:sz="4" w:space="0"/>
              <w:bottom w:val="single" w:color="auto" w:sz="4" w:space="0"/>
              <w:right w:val="single" w:color="auto" w:sz="4" w:space="0"/>
            </w:tcBorders>
          </w:tcPr>
          <w:p>
            <w:pPr>
              <w:pStyle w:val="66"/>
            </w:pPr>
            <w:r>
              <w:rPr>
                <w:rFonts w:hint="eastAsia" w:eastAsia="宋体"/>
                <w:lang w:val="en-US" w:eastAsia="zh-CN"/>
              </w:rPr>
              <w:t>1</w:t>
            </w:r>
            <w:r>
              <w:t xml:space="preserve"> omni-directional antenna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Polarisation</w:t>
            </w:r>
          </w:p>
        </w:tc>
        <w:tc>
          <w:tcPr>
            <w:tcW w:w="2833" w:type="pct"/>
            <w:tcBorders>
              <w:top w:val="single" w:color="auto" w:sz="4" w:space="0"/>
              <w:left w:val="single" w:color="auto" w:sz="4" w:space="0"/>
              <w:bottom w:val="single" w:color="auto" w:sz="4" w:space="0"/>
              <w:right w:val="single" w:color="auto" w:sz="4" w:space="0"/>
            </w:tcBorders>
          </w:tcPr>
          <w:p>
            <w:pPr>
              <w:pStyle w:val="66"/>
              <w:rPr>
                <w:rFonts w:hint="default" w:eastAsia="宋体"/>
                <w:lang w:val="en-US" w:eastAsia="zh-CN"/>
              </w:rPr>
            </w:pPr>
            <w:r>
              <w:rPr>
                <w:rFonts w:hint="eastAsia" w:eastAsia="宋体"/>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pPr>
            <w:r>
              <w:t xml:space="preserve">Tx/Rx Antenna gain </w:t>
            </w:r>
          </w:p>
        </w:tc>
        <w:tc>
          <w:tcPr>
            <w:tcW w:w="2833" w:type="pct"/>
            <w:tcBorders>
              <w:top w:val="single" w:color="auto" w:sz="4" w:space="0"/>
              <w:left w:val="single" w:color="auto" w:sz="4" w:space="0"/>
              <w:bottom w:val="single" w:color="auto" w:sz="4" w:space="0"/>
              <w:right w:val="single" w:color="auto" w:sz="4" w:space="0"/>
            </w:tcBorders>
          </w:tcPr>
          <w:p>
            <w:pPr>
              <w:pStyle w:val="66"/>
            </w:pPr>
            <w:r>
              <w:t>0 dBi per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the number of Tx and Rx</w:t>
            </w:r>
          </w:p>
        </w:tc>
        <w:tc>
          <w:tcPr>
            <w:tcW w:w="2833" w:type="pct"/>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1T2R</w:t>
            </w:r>
          </w:p>
        </w:tc>
      </w:tr>
    </w:tbl>
    <w:p/>
    <w:p>
      <w:pPr>
        <w:pStyle w:val="4"/>
      </w:pPr>
      <w:bookmarkStart w:id="268" w:name="_Toc21924"/>
      <w:bookmarkStart w:id="269" w:name="_Toc6876"/>
      <w:bookmarkStart w:id="270" w:name="_Toc8727"/>
      <w:bookmarkStart w:id="271" w:name="_Toc133498130"/>
      <w:bookmarkStart w:id="272" w:name="_Toc31969"/>
      <w:bookmarkStart w:id="273" w:name="_Toc4907"/>
      <w:bookmarkStart w:id="274" w:name="_Toc13405"/>
      <w:bookmarkStart w:id="275" w:name="_Toc23795"/>
      <w:bookmarkStart w:id="276" w:name="_Toc26624"/>
      <w:bookmarkStart w:id="277" w:name="_Toc29935"/>
      <w:r>
        <w:rPr>
          <w:rFonts w:hint="eastAsia"/>
          <w:lang w:eastAsia="zh-CN"/>
        </w:rPr>
        <w:t xml:space="preserve">6.2.4 </w:t>
      </w:r>
      <w:r>
        <w:t>ACLR and ACS modelling</w:t>
      </w:r>
      <w:bookmarkEnd w:id="268"/>
      <w:bookmarkEnd w:id="269"/>
      <w:bookmarkEnd w:id="270"/>
      <w:bookmarkEnd w:id="271"/>
      <w:bookmarkEnd w:id="272"/>
      <w:bookmarkEnd w:id="273"/>
      <w:bookmarkEnd w:id="274"/>
      <w:bookmarkEnd w:id="275"/>
      <w:bookmarkEnd w:id="276"/>
      <w:bookmarkEnd w:id="277"/>
    </w:p>
    <w:p>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pPr>
        <w:rPr>
          <w:rFonts w:eastAsia="MS Mincho"/>
        </w:rPr>
      </w:pPr>
      <w:r>
        <w:rPr>
          <w:rFonts w:eastAsia="MS Mincho"/>
        </w:rPr>
        <w:t>If this assumption is for DL, then the similar assumption could be made for the UL.</w:t>
      </w:r>
    </w:p>
    <w:p>
      <w:pPr>
        <w:rPr>
          <w:rFonts w:eastAsia="MS Mincho"/>
        </w:rPr>
      </w:pPr>
      <w:r>
        <w:rPr>
          <w:rFonts w:eastAsia="MS Mincho"/>
        </w:rPr>
        <w:t>Therefore, it is assumed that both ACLR ( or the adjacent channel interference) and ACS are flat in both space and frequency. The ACIR model can be express as:</w:t>
      </w:r>
    </w:p>
    <w:p>
      <w:pPr>
        <w:pStyle w:val="58"/>
        <w:rPr>
          <w:rFonts w:eastAsia="MS Mincho"/>
        </w:rPr>
      </w:pPr>
      <w:r>
        <w:rPr>
          <w:rFonts w:eastAsia="MS Mincho"/>
        </w:rPr>
        <w:object>
          <v:shape id="_x0000_i1027" o:spt="75" type="#_x0000_t75" style="height:44pt;width:116pt;" o:ole="t" filled="f" o:preferrelative="t" stroked="f" coordsize="21600,21600">
            <v:path/>
            <v:fill on="f" focussize="0,0"/>
            <v:stroke on="f" joinstyle="miter"/>
            <v:imagedata r:id="rId20" o:title=""/>
            <o:lock v:ext="edit" aspectratio="t"/>
            <w10:wrap type="none"/>
            <w10:anchorlock/>
          </v:shape>
          <o:OLEObject Type="Embed" ProgID="Equation.3" ShapeID="_x0000_i1027" DrawAspect="Content" ObjectID="_1468075727" r:id="rId19">
            <o:LockedField>false</o:LockedField>
          </o:OLEObject>
        </w:object>
      </w:r>
    </w:p>
    <w:p>
      <w:pPr>
        <w:rPr>
          <w:rFonts w:eastAsia="MS Mincho"/>
        </w:rPr>
      </w:pPr>
      <w:r>
        <w:rPr>
          <w:rFonts w:eastAsia="MS Mincho"/>
        </w:rPr>
        <w:t>(Assuming ACLR, ACS and ACIR to be linear).</w:t>
      </w:r>
    </w:p>
    <w:p>
      <w:pPr>
        <w:rPr>
          <w:rFonts w:eastAsiaTheme="minorEastAsia"/>
          <w:lang w:eastAsia="zh-CN"/>
        </w:rPr>
      </w:pPr>
      <w:r>
        <w:rPr>
          <w:rFonts w:eastAsiaTheme="minorEastAsia"/>
          <w:lang w:eastAsia="zh-CN"/>
        </w:rPr>
        <w:t>The ACLR/ACS requirements for TN are defined as below.</w:t>
      </w:r>
    </w:p>
    <w:p>
      <w:pPr>
        <w:pStyle w:val="76"/>
      </w:pPr>
      <w:r>
        <w:t>Table 6.2.4-1: ACLR/ACS requirements for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38" w:type="dxa"/>
            <w:gridSpan w:val="3"/>
          </w:tcPr>
          <w:p>
            <w:pPr>
              <w:keepNext/>
              <w:keepLines/>
              <w:jc w:val="center"/>
              <w:rPr>
                <w:rFonts w:ascii="Arial" w:hAnsi="Arial"/>
                <w:b/>
                <w:bCs/>
                <w:sz w:val="18"/>
                <w:szCs w:val="18"/>
                <w:lang w:eastAsia="ja-JP"/>
              </w:rPr>
            </w:pPr>
            <w:r>
              <w:rPr>
                <w:rFonts w:hint="eastAsia" w:ascii="Arial" w:hAnsi="Arial"/>
                <w:b/>
                <w:bCs/>
                <w:sz w:val="18"/>
                <w:szCs w:val="18"/>
                <w:lang w:eastAsia="ja-JP"/>
              </w:rPr>
              <w:t>NR</w:t>
            </w:r>
            <w:r>
              <w:rPr>
                <w:rFonts w:ascii="Arial" w:hAnsi="Arial"/>
                <w:b/>
                <w:bCs/>
                <w:sz w:val="18"/>
                <w:szCs w:val="18"/>
                <w:lang w:eastAsia="ja-JP"/>
              </w:rPr>
              <w:t xml:space="preserve"> TN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BS</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UE</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30dB (ACLR1)</w:t>
            </w:r>
          </w:p>
          <w:p>
            <w:pPr>
              <w:keepNext/>
              <w:keepLines/>
              <w:snapToGrid w:val="0"/>
              <w:jc w:val="center"/>
              <w:rPr>
                <w:rFonts w:ascii="Arial" w:hAnsi="Arial"/>
                <w:sz w:val="18"/>
              </w:rPr>
            </w:pPr>
            <w:r>
              <w:rPr>
                <w:rFonts w:ascii="Arial" w:hAnsi="Arial"/>
                <w:sz w:val="18"/>
              </w:rPr>
              <w:t>43dB (ACLR2)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33</w:t>
            </w:r>
          </w:p>
        </w:tc>
      </w:tr>
    </w:tbl>
    <w:p/>
    <w:p>
      <w:pPr>
        <w:pStyle w:val="4"/>
        <w:rPr>
          <w:lang w:eastAsia="zh-CN"/>
        </w:rPr>
      </w:pPr>
      <w:bookmarkStart w:id="278" w:name="_Toc26176"/>
      <w:bookmarkStart w:id="279" w:name="_Toc18384"/>
      <w:bookmarkStart w:id="280" w:name="_Toc133498131"/>
      <w:bookmarkStart w:id="281" w:name="_Toc7478"/>
      <w:bookmarkStart w:id="282" w:name="_Toc21103"/>
      <w:bookmarkStart w:id="283" w:name="_Toc18386"/>
      <w:bookmarkStart w:id="284" w:name="_Toc7170"/>
      <w:bookmarkStart w:id="285" w:name="_Toc25643"/>
      <w:bookmarkStart w:id="286" w:name="_Toc7324"/>
      <w:bookmarkStart w:id="287" w:name="_Toc9818"/>
      <w:r>
        <w:rPr>
          <w:rFonts w:hint="eastAsia"/>
          <w:lang w:eastAsia="zh-CN"/>
        </w:rPr>
        <w:t xml:space="preserve">6.2.5 </w:t>
      </w:r>
      <w:r>
        <w:rPr>
          <w:lang w:eastAsia="zh-CN"/>
        </w:rPr>
        <w:t>Propagation model</w:t>
      </w:r>
      <w:bookmarkEnd w:id="278"/>
      <w:bookmarkEnd w:id="279"/>
      <w:bookmarkEnd w:id="280"/>
      <w:bookmarkEnd w:id="281"/>
      <w:bookmarkEnd w:id="282"/>
      <w:bookmarkEnd w:id="283"/>
      <w:bookmarkEnd w:id="284"/>
      <w:bookmarkEnd w:id="285"/>
      <w:bookmarkEnd w:id="286"/>
      <w:bookmarkEnd w:id="287"/>
    </w:p>
    <w:p>
      <w:pPr>
        <w:pStyle w:val="5"/>
      </w:pPr>
      <w:bookmarkStart w:id="288" w:name="_Toc20019"/>
      <w:bookmarkStart w:id="289" w:name="_Toc1165"/>
      <w:bookmarkStart w:id="290" w:name="_Toc6462"/>
      <w:bookmarkStart w:id="291" w:name="_Toc24743"/>
      <w:bookmarkStart w:id="292" w:name="_Toc133498132"/>
      <w:bookmarkStart w:id="293" w:name="_Toc861"/>
      <w:bookmarkStart w:id="294" w:name="_Toc7893"/>
      <w:bookmarkStart w:id="295" w:name="_Toc30458"/>
      <w:bookmarkStart w:id="296" w:name="_Toc11062"/>
      <w:bookmarkStart w:id="297" w:name="_Toc15378"/>
      <w:r>
        <w:rPr>
          <w:rFonts w:hint="eastAsia"/>
        </w:rPr>
        <w:t xml:space="preserve">6.2.5.1 </w:t>
      </w:r>
      <w:r>
        <w:t>Propagation model between TN UE and ATG UE</w:t>
      </w:r>
      <w:bookmarkEnd w:id="288"/>
      <w:bookmarkEnd w:id="289"/>
      <w:bookmarkEnd w:id="290"/>
      <w:bookmarkEnd w:id="291"/>
      <w:bookmarkEnd w:id="292"/>
      <w:bookmarkEnd w:id="293"/>
      <w:bookmarkEnd w:id="294"/>
      <w:bookmarkEnd w:id="295"/>
      <w:bookmarkEnd w:id="296"/>
      <w:bookmarkEnd w:id="297"/>
    </w:p>
    <w:p>
      <w:pPr>
        <w:rPr>
          <w:lang w:eastAsia="zh-CN"/>
        </w:rPr>
      </w:pPr>
      <w:r>
        <w:rPr>
          <w:lang w:eastAsia="zh-CN"/>
        </w:rPr>
        <w:t>Referring to section 6.6 in TR 38.811, the propagation model between TN UE and ATG UE can be simplified and summarized as below.</w:t>
      </w:r>
    </w:p>
    <w:p>
      <w:pPr>
        <w:rPr>
          <w:b/>
        </w:rPr>
      </w:pPr>
      <w:r>
        <w:rPr>
          <w:b/>
        </w:rPr>
        <w:t>LOS probability</w:t>
      </w:r>
    </w:p>
    <w:p>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pPr>
        <w:pStyle w:val="76"/>
        <w:spacing w:before="240"/>
        <w:rPr>
          <w:lang w:eastAsia="ko-KR"/>
        </w:rPr>
      </w:pPr>
      <w:r>
        <w:t>Table 6.2.5.1-1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bottom w:val="single" w:color="auto" w:sz="4" w:space="0"/>
              <w:right w:val="single" w:color="auto" w:sz="4" w:space="0"/>
            </w:tcBorders>
            <w:shd w:val="clear" w:color="auto" w:fill="auto"/>
            <w:tcMar>
              <w:top w:w="11" w:type="dxa"/>
              <w:bottom w:w="11" w:type="dxa"/>
            </w:tcMar>
            <w:vAlign w:val="center"/>
          </w:tcPr>
          <w:p>
            <w:pPr>
              <w:pStyle w:val="68"/>
            </w:pPr>
            <w:r>
              <w:t>Elevation</w:t>
            </w:r>
          </w:p>
        </w:tc>
        <w:tc>
          <w:tcPr>
            <w:tcW w:w="2155" w:type="dxa"/>
            <w:tcBorders>
              <w:bottom w:val="single" w:color="auto" w:sz="4" w:space="0"/>
            </w:tcBorders>
            <w:shd w:val="clear" w:color="auto" w:fill="auto"/>
            <w:tcMar>
              <w:top w:w="11" w:type="dxa"/>
              <w:bottom w:w="11" w:type="dxa"/>
            </w:tcMar>
          </w:tcPr>
          <w:p>
            <w:pPr>
              <w:pStyle w:val="68"/>
            </w:pPr>
            <w:r>
              <w:t>Suburban and Rural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top w:val="single" w:color="auto" w:sz="4" w:space="0"/>
              <w:right w:val="single" w:color="auto" w:sz="4" w:space="0"/>
            </w:tcBorders>
            <w:shd w:val="clear" w:color="auto" w:fill="auto"/>
            <w:tcMar>
              <w:top w:w="11" w:type="dxa"/>
              <w:bottom w:w="11" w:type="dxa"/>
            </w:tcMar>
            <w:vAlign w:val="center"/>
          </w:tcPr>
          <w:p>
            <w:pPr>
              <w:pStyle w:val="68"/>
            </w:pPr>
            <w:r>
              <w:t>10°</w:t>
            </w:r>
          </w:p>
        </w:tc>
        <w:tc>
          <w:tcPr>
            <w:tcW w:w="2155" w:type="dxa"/>
            <w:tcBorders>
              <w:top w:val="single" w:color="auto" w:sz="4" w:space="0"/>
            </w:tcBorders>
            <w:shd w:val="clear" w:color="auto" w:fill="auto"/>
            <w:tcMar>
              <w:top w:w="11" w:type="dxa"/>
              <w:bottom w:w="11" w:type="dxa"/>
            </w:tcMar>
          </w:tcPr>
          <w:p>
            <w:pPr>
              <w:pStyle w:val="68"/>
            </w:pPr>
            <w: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20°</w:t>
            </w:r>
          </w:p>
        </w:tc>
        <w:tc>
          <w:tcPr>
            <w:tcW w:w="2155" w:type="dxa"/>
            <w:shd w:val="clear" w:color="auto" w:fill="auto"/>
            <w:tcMar>
              <w:top w:w="11" w:type="dxa"/>
              <w:bottom w:w="11" w:type="dxa"/>
            </w:tcMar>
          </w:tcPr>
          <w:p>
            <w:pPr>
              <w:pStyle w:val="68"/>
            </w:pPr>
            <w: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30°</w:t>
            </w:r>
          </w:p>
        </w:tc>
        <w:tc>
          <w:tcPr>
            <w:tcW w:w="2155" w:type="dxa"/>
            <w:shd w:val="clear" w:color="auto" w:fill="auto"/>
            <w:tcMar>
              <w:top w:w="11" w:type="dxa"/>
              <w:bottom w:w="11" w:type="dxa"/>
            </w:tcMar>
          </w:tcPr>
          <w:p>
            <w:pPr>
              <w:pStyle w:val="68"/>
            </w:pPr>
            <w:r>
              <w:t>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40°</w:t>
            </w:r>
          </w:p>
        </w:tc>
        <w:tc>
          <w:tcPr>
            <w:tcW w:w="2155" w:type="dxa"/>
            <w:shd w:val="clear" w:color="auto" w:fill="auto"/>
            <w:tcMar>
              <w:top w:w="11" w:type="dxa"/>
              <w:bottom w:w="11" w:type="dxa"/>
            </w:tcMar>
          </w:tcPr>
          <w:p>
            <w:pPr>
              <w:pStyle w:val="68"/>
            </w:pPr>
            <w:r>
              <w:t>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50°</w:t>
            </w:r>
          </w:p>
        </w:tc>
        <w:tc>
          <w:tcPr>
            <w:tcW w:w="2155" w:type="dxa"/>
            <w:shd w:val="clear" w:color="auto" w:fill="auto"/>
            <w:tcMar>
              <w:top w:w="11" w:type="dxa"/>
              <w:bottom w:w="11" w:type="dxa"/>
            </w:tcMar>
          </w:tcPr>
          <w:p>
            <w:pPr>
              <w:pStyle w:val="68"/>
            </w:pPr>
            <w: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60°</w:t>
            </w:r>
          </w:p>
        </w:tc>
        <w:tc>
          <w:tcPr>
            <w:tcW w:w="2155" w:type="dxa"/>
            <w:shd w:val="clear" w:color="auto" w:fill="auto"/>
            <w:tcMar>
              <w:top w:w="11" w:type="dxa"/>
              <w:bottom w:w="11" w:type="dxa"/>
            </w:tcMar>
          </w:tcPr>
          <w:p>
            <w:pPr>
              <w:pStyle w:val="68"/>
            </w:pPr>
            <w: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70°</w:t>
            </w:r>
          </w:p>
        </w:tc>
        <w:tc>
          <w:tcPr>
            <w:tcW w:w="2155" w:type="dxa"/>
            <w:shd w:val="clear" w:color="auto" w:fill="auto"/>
            <w:tcMar>
              <w:top w:w="11" w:type="dxa"/>
              <w:bottom w:w="11" w:type="dxa"/>
            </w:tcMar>
          </w:tcPr>
          <w:p>
            <w:pPr>
              <w:pStyle w:val="68"/>
            </w:pPr>
            <w: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80°</w:t>
            </w:r>
          </w:p>
        </w:tc>
        <w:tc>
          <w:tcPr>
            <w:tcW w:w="2155" w:type="dxa"/>
            <w:shd w:val="clear" w:color="auto" w:fill="auto"/>
            <w:tcMar>
              <w:top w:w="11" w:type="dxa"/>
              <w:bottom w:w="11" w:type="dxa"/>
            </w:tcMar>
          </w:tcPr>
          <w:p>
            <w:pPr>
              <w:pStyle w:val="68"/>
            </w:pPr>
            <w:r>
              <w:t>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8"/>
            </w:pPr>
            <w:r>
              <w:t>90°</w:t>
            </w:r>
          </w:p>
        </w:tc>
        <w:tc>
          <w:tcPr>
            <w:tcW w:w="2155" w:type="dxa"/>
            <w:shd w:val="clear" w:color="auto" w:fill="auto"/>
            <w:tcMar>
              <w:top w:w="11" w:type="dxa"/>
              <w:bottom w:w="11" w:type="dxa"/>
            </w:tcMar>
          </w:tcPr>
          <w:p>
            <w:pPr>
              <w:pStyle w:val="68"/>
            </w:pPr>
            <w:r>
              <w:t>99.8%</w:t>
            </w:r>
          </w:p>
        </w:tc>
      </w:tr>
    </w:tbl>
    <w:p>
      <w:pPr>
        <w:rPr>
          <w:b/>
        </w:rPr>
      </w:pPr>
      <w:r>
        <w:rPr>
          <w:b/>
        </w:rPr>
        <w:t>Path loss and Shadow fading</w:t>
      </w:r>
    </w:p>
    <w:p>
      <w:pPr>
        <w:rPr>
          <w:rFonts w:cs="Calibri"/>
        </w:rPr>
      </w:pPr>
      <w:r>
        <w:rPr>
          <w:rFonts w:cs="Calibri"/>
        </w:rPr>
        <w:t>The signal path between ATG UE and ATG BS undergoes several stages of propagation and attenuation. The path loss (PL) is composed of components as follows:</w:t>
      </w:r>
    </w:p>
    <w:p>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ctrlPr>
              <w:rPr>
                <w:rFonts w:ascii="Cambria Math" w:hAnsi="Cambria Math" w:cs="Calibri"/>
              </w:rPr>
            </m:ctrlPr>
          </m:e>
          <m:sub>
            <m:r>
              <m:rPr/>
              <w:rPr>
                <w:rFonts w:ascii="Cambria Math" w:hAnsi="Cambria Math" w:cs="Calibri"/>
              </w:rPr>
              <m:t>b</m:t>
            </m:r>
            <m:ctrlPr>
              <w:rPr>
                <w:rFonts w:ascii="Cambria Math" w:hAnsi="Cambria Math" w:cs="Calibri"/>
              </w:rPr>
            </m:ctrlPr>
          </m:sub>
        </m:sSub>
        <m:r>
          <m:rPr/>
          <w:rPr>
            <w:rFonts w:ascii="Cambria Math" w:hAnsi="Cambria Math" w:cs="Calibri"/>
          </w:rPr>
          <m:t>=FSPL</m:t>
        </m:r>
        <m:d>
          <m:dPr>
            <m:ctrlPr>
              <w:rPr>
                <w:rFonts w:ascii="Cambria Math" w:hAnsi="Cambria Math" w:cs="Calibri"/>
                <w:i/>
              </w:rPr>
            </m:ctrlPr>
          </m:dPr>
          <m:e>
            <m:r>
              <m:rPr/>
              <w:rPr>
                <w:rFonts w:ascii="Cambria Math" w:hAnsi="Cambria Math" w:cs="Calibri"/>
              </w:rPr>
              <m:t xml:space="preserve">d,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r>
          <m:rPr/>
          <w:rPr>
            <w:rFonts w:ascii="Cambria Math" w:hAnsi="Cambria Math" w:cs="Calibri"/>
          </w:rPr>
          <m:t>+SF+CL</m:t>
        </m:r>
        <m:d>
          <m:dPr>
            <m:ctrlPr>
              <w:rPr>
                <w:rFonts w:ascii="Cambria Math" w:hAnsi="Cambria Math" w:cs="Calibri"/>
                <w:i/>
              </w:rPr>
            </m:ctrlPr>
          </m:dPr>
          <m:e>
            <m:r>
              <m:rPr/>
              <w:rPr>
                <w:rFonts w:ascii="Cambria Math" w:hAnsi="Cambria Math" w:cs="Calibri"/>
              </w:rPr>
              <m:t xml:space="preserve">α,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oMath>
      <w:r>
        <w:rPr>
          <w:rFonts w:cs="Calibri"/>
        </w:rPr>
        <w:t>,</w:t>
      </w:r>
      <w:r>
        <w:rPr>
          <w:rFonts w:cs="Calibri"/>
        </w:rPr>
        <w:tab/>
      </w:r>
      <w:r>
        <w:rPr>
          <w:rFonts w:cs="Calibri"/>
        </w:rPr>
        <w:t>(6.2.5.1-1)</w:t>
      </w:r>
    </w:p>
    <w:p>
      <w:pPr>
        <w:rPr>
          <w:rFonts w:cs="Calibri"/>
        </w:rPr>
      </w:pPr>
      <w:r>
        <w:rPr>
          <w:rFonts w:cs="Calibri"/>
        </w:rPr>
        <w:t>where</w:t>
      </w:r>
      <w:r>
        <w:rPr>
          <w:rFonts w:cs="Calibri"/>
        </w:rPr>
        <w:tab/>
      </w:r>
      <w:r>
        <w:rPr>
          <w:rFonts w:cs="Calibri"/>
          <w:position w:val="-4"/>
        </w:rPr>
        <w:object>
          <v:shape id="_x0000_i1028" o:spt="75" type="#_x0000_t75" style="height:12pt;width:17.5pt;" o:ole="t" filled="f" o:preferrelative="t" stroked="f" coordsize="21600,21600">
            <v:path/>
            <v:fill on="f" focussize="0,0"/>
            <v:stroke on="f" joinstyle="miter"/>
            <v:imagedata r:id="rId22" o:title=""/>
            <o:lock v:ext="edit" aspectratio="t"/>
            <w10:wrap type="none"/>
            <w10:anchorlock/>
          </v:shape>
          <o:OLEObject Type="Embed" ProgID="Equation.3" ShapeID="_x0000_i1028" DrawAspect="Content" ObjectID="_1468075728" r:id="rId21">
            <o:LockedField>false</o:LockedField>
          </o:OLEObject>
        </w:object>
      </w:r>
      <w:r>
        <w:rPr>
          <w:rFonts w:cs="Calibri"/>
        </w:rPr>
        <w:t>is the total path loss in dB,</w:t>
      </w:r>
    </w:p>
    <w:p>
      <w:pPr>
        <w:spacing w:after="0"/>
        <w:rPr>
          <w:rFonts w:cs="Calibri"/>
        </w:rPr>
      </w:pPr>
      <w:r>
        <w:rPr>
          <w:rFonts w:cs="Calibri"/>
        </w:rPr>
        <w:tab/>
      </w:r>
      <w:r>
        <w:rPr>
          <w:rFonts w:cs="Calibri"/>
          <w:position w:val="-12"/>
        </w:rPr>
        <w:object>
          <v:shape id="_x0000_i1029" o:spt="75" type="#_x0000_t75" style="height:17.5pt;width:21.5pt;" o:ole="t" filled="f" o:preferrelative="t" stroked="f" coordsize="21600,21600">
            <v:path/>
            <v:fill on="f" focussize="0,0"/>
            <v:stroke on="f" joinstyle="miter"/>
            <v:imagedata r:id="rId24" o:title=""/>
            <o:lock v:ext="edit" aspectratio="t"/>
            <w10:wrap type="none"/>
            <w10:anchorlock/>
          </v:shape>
          <o:OLEObject Type="Embed" ProgID="Equation.3" ShapeID="_x0000_i1029" DrawAspect="Content" ObjectID="_1468075729" r:id="rId23">
            <o:LockedField>false</o:LockedField>
          </o:OLEObject>
        </w:object>
      </w:r>
      <w:r>
        <w:rPr>
          <w:rFonts w:cs="Calibri"/>
        </w:rPr>
        <w:t xml:space="preserve"> is the basic path loss in dB,</w:t>
      </w:r>
    </w:p>
    <w:p>
      <w:pPr>
        <w:spacing w:after="0"/>
        <w:rPr>
          <w:rFonts w:cs="Calibri"/>
        </w:rPr>
      </w:pPr>
      <w:r>
        <w:rPr>
          <w:rFonts w:cs="Calibri"/>
        </w:rPr>
        <w:tab/>
      </w:r>
    </w:p>
    <w:p>
      <w:pPr>
        <w:rPr>
          <w:rFonts w:cs="Calibri"/>
          <w:szCs w:val="40"/>
        </w:rPr>
      </w:pPr>
      <w:r>
        <w:rPr>
          <w:rFonts w:cs="Calibri"/>
        </w:rPr>
        <w:t>This section specifies the basic path loss model (</w:t>
      </w:r>
      <w:r>
        <w:rPr>
          <w:rFonts w:cs="Calibri"/>
          <w:position w:val="-12"/>
        </w:rPr>
        <w:object>
          <v:shape id="_x0000_i1030" o:spt="75" type="#_x0000_t75" style="height:17.5pt;width:21.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r>
        <w:rPr>
          <w:rFonts w:cs="Calibri"/>
        </w:rPr>
        <w:t xml:space="preserve">) which accounts for the signal's free space propagation, clutter loss, and shadow fading. </w:t>
      </w:r>
    </w:p>
    <w:p>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c</m:t>
            </m:r>
            <m:ctrlPr>
              <w:rPr>
                <w:rFonts w:ascii="Cambria Math" w:hAnsi="Cambria Math"/>
                <w:i/>
              </w:rPr>
            </m:ctrlPr>
          </m:sub>
        </m:sSub>
      </m:oMath>
      <w:r>
        <w:rPr>
          <w:rFonts w:cs="Calibri"/>
        </w:rPr>
        <w:t xml:space="preserve"> in GHz is given by</w:t>
      </w:r>
    </w:p>
    <w:p>
      <w:pPr>
        <w:tabs>
          <w:tab w:val="center" w:pos="4820"/>
          <w:tab w:val="right" w:pos="9639"/>
        </w:tabs>
        <w:rPr>
          <w:rFonts w:cs="Calibri"/>
        </w:rPr>
      </w:pPr>
      <w:r>
        <w:rPr>
          <w:rFonts w:cs="Calibri"/>
        </w:rPr>
        <w:tab/>
      </w:r>
      <w:r>
        <w:rPr>
          <w:rFonts w:cs="Calibri"/>
          <w:lang w:val="en-US" w:eastAsia="zh-CN"/>
        </w:rPr>
        <w:drawing>
          <wp:inline distT="0" distB="0" distL="0" distR="0">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r>
      <w:r>
        <w:rPr>
          <w:rFonts w:cs="Calibri"/>
        </w:rPr>
        <w:t>(6.6-2)</w:t>
      </w:r>
    </w:p>
    <w:p>
      <w:pPr>
        <w:rPr>
          <w:rFonts w:eastAsia="MS Mincho"/>
          <w:lang w:eastAsia="ja-JP"/>
        </w:rPr>
      </w:pPr>
      <w:r>
        <w:rPr>
          <w:position w:val="-12"/>
          <w:lang w:eastAsia="zh-CN"/>
        </w:rPr>
        <w:object>
          <v:shape id="_x0000_i1031" o:spt="75" type="#_x0000_t75" style="height:17.5pt;width:50.5pt;" o:ole="t" filled="f" o:preferrelative="t" stroked="f" coordsize="21600,21600">
            <v:path/>
            <v:fill on="f" focussize="0,0"/>
            <v:stroke on="f" joinstyle="miter"/>
            <v:imagedata r:id="rId29" o:title=""/>
            <o:lock v:ext="edit" aspectratio="t"/>
            <w10:wrap type="none"/>
            <w10:anchorlock/>
          </v:shape>
          <o:OLEObject Type="Embed" ProgID="Equation.3" ShapeID="_x0000_i1031" DrawAspect="Content" ObjectID="_1468075731" r:id="rId28">
            <o:LockedField>false</o:LockedField>
          </o:OLEObject>
        </w:object>
      </w:r>
      <w:r>
        <w:rPr>
          <w:lang w:eastAsia="zh-CN"/>
        </w:rPr>
        <w:t xml:space="preserve">is clutter loss, and </w:t>
      </w:r>
      <w:r>
        <w:rPr>
          <w:position w:val="-6"/>
          <w:lang w:eastAsia="zh-CN"/>
        </w:rPr>
        <w:object>
          <v:shape id="_x0000_i1032" o:spt="75" type="#_x0000_t75" style="height:13.5pt;width:17.5pt;" o:ole="t" filled="f" o:preferrelative="t" stroked="f" coordsize="21600,21600">
            <v:path/>
            <v:fill on="f" focussize="0,0"/>
            <v:stroke on="f" joinstyle="miter"/>
            <v:imagedata r:id="rId31" o:title=""/>
            <o:lock v:ext="edit" aspectratio="t"/>
            <w10:wrap type="none"/>
            <w10:anchorlock/>
          </v:shape>
          <o:OLEObject Type="Embed" ProgID="Equation.3" ShapeID="_x0000_i1032" DrawAspect="Content" ObjectID="_1468075732" r:id="rId30">
            <o:LockedField>false</o:LockedField>
          </o:OLEObject>
        </w:object>
      </w:r>
      <w:r>
        <w:rPr>
          <w:lang w:eastAsia="zh-CN"/>
        </w:rPr>
        <w:t xml:space="preserve"> is shadow fading loss represented by a random number generated by the normal distribution, i.e., </w:t>
      </w:r>
      <w:r>
        <w:rPr>
          <w:position w:val="-6"/>
          <w:lang w:eastAsia="zh-CN"/>
        </w:rPr>
        <w:object>
          <v:shape id="_x0000_i1033" o:spt="75" type="#_x0000_t75" style="height:13.5pt;width:17.5pt;" o:ole="t" filled="f" o:preferrelative="t" stroked="f" coordsize="21600,21600">
            <v:path/>
            <v:fill on="f" focussize="0,0"/>
            <v:stroke on="f" joinstyle="miter"/>
            <v:imagedata r:id="rId33" o:title=""/>
            <o:lock v:ext="edit" aspectratio="t"/>
            <w10:wrap type="none"/>
            <w10:anchorlock/>
          </v:shape>
          <o:OLEObject Type="Embed" ProgID="Equation.3" ShapeID="_x0000_i1033" DrawAspect="Content" ObjectID="_1468075733" r:id="rId32">
            <o:LockedField>false</o:LockedField>
          </o:OLEObject>
        </w:object>
      </w:r>
      <w:r>
        <w:rPr>
          <w:lang w:eastAsia="zh-CN"/>
        </w:rPr>
        <w:t xml:space="preserve"> ~</w:t>
      </w:r>
      <w:r>
        <w:rPr>
          <w:rFonts w:eastAsia="MS Mincho"/>
          <w:position w:val="-12"/>
          <w:lang w:eastAsia="ja-JP"/>
        </w:rPr>
        <w:object>
          <v:shape id="_x0000_i1034" o:spt="75" type="#_x0000_t75" style="height:17.5pt;width:50.5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pPr>
        <w:pStyle w:val="76"/>
        <w:spacing w:before="240"/>
        <w:rPr>
          <w:lang w:eastAsia="ko-KR"/>
        </w:rPr>
      </w:pPr>
      <w:r>
        <w:t>Table 6.2.5.1-2: Shadow fading and clutter loss for suburban and rural scenarios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1227"/>
        <w:gridCol w:w="1134"/>
        <w:gridCol w:w="1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restart"/>
            <w:shd w:val="clear" w:color="auto" w:fill="auto"/>
            <w:tcMar>
              <w:top w:w="11" w:type="dxa"/>
              <w:bottom w:w="11" w:type="dxa"/>
            </w:tcMar>
            <w:vAlign w:val="bottom"/>
          </w:tcPr>
          <w:p>
            <w:pPr>
              <w:pStyle w:val="68"/>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pPr>
              <w:pStyle w:val="68"/>
              <w:rPr>
                <w:rFonts w:eastAsia="MS Mincho"/>
                <w:lang w:eastAsia="ja-JP"/>
              </w:rPr>
            </w:pPr>
            <w:r>
              <w:rPr>
                <w:rFonts w:eastAsia="MS Mincho"/>
                <w:lang w:eastAsia="ja-JP"/>
              </w:rPr>
              <w:t>2GHz 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8"/>
              <w:rPr>
                <w:rFonts w:eastAsia="MS Mincho"/>
                <w:lang w:eastAsia="ja-JP"/>
              </w:rPr>
            </w:pPr>
          </w:p>
        </w:tc>
        <w:tc>
          <w:tcPr>
            <w:tcW w:w="1227" w:type="dxa"/>
            <w:shd w:val="clear" w:color="auto" w:fill="auto"/>
            <w:tcMar>
              <w:top w:w="11" w:type="dxa"/>
              <w:bottom w:w="11" w:type="dxa"/>
            </w:tcMar>
            <w:vAlign w:val="bottom"/>
          </w:tcPr>
          <w:p>
            <w:pPr>
              <w:pStyle w:val="68"/>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pPr>
              <w:pStyle w:val="68"/>
              <w:rPr>
                <w:rFonts w:eastAsia="MS Mincho"/>
                <w:lang w:eastAsia="ja-JP"/>
              </w:rPr>
            </w:pPr>
            <w:r>
              <w:rPr>
                <w:rFonts w:eastAsia="MS Mincho"/>
                <w:lang w:eastAsia="ja-JP"/>
              </w:rPr>
              <w:t>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8"/>
              <w:rPr>
                <w:rFonts w:eastAsia="MS Mincho"/>
                <w:lang w:eastAsia="ja-JP"/>
              </w:rPr>
            </w:pPr>
          </w:p>
        </w:tc>
        <w:tc>
          <w:tcPr>
            <w:tcW w:w="1227" w:type="dxa"/>
            <w:shd w:val="clear" w:color="auto" w:fill="auto"/>
            <w:tcMar>
              <w:top w:w="11" w:type="dxa"/>
              <w:bottom w:w="11" w:type="dxa"/>
            </w:tcMar>
            <w:vAlign w:val="bottom"/>
          </w:tcPr>
          <w:p>
            <w:pPr>
              <w:pStyle w:val="68"/>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5" o:spt="75" type="#_x0000_t75" style="height:17.5pt;width:20.5pt;" o:ole="t" filled="f" o:preferrelative="t" stroked="f" coordsize="21600,21600">
                  <v:path/>
                  <v:fill on="f" focussize="0,0"/>
                  <v:stroke on="f" joinstyle="miter"/>
                  <v:imagedata r:id="rId37" o:title=""/>
                  <o:lock v:ext="edit" aspectratio="t"/>
                  <w10:wrap type="none"/>
                  <w10:anchorlock/>
                </v:shape>
                <o:OLEObject Type="Embed" ProgID="Equation.3" ShapeID="_x0000_i1035" DrawAspect="Content" ObjectID="_1468075735" r:id="rId36">
                  <o:LockedField>false</o:LockedField>
                </o:OLEObject>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pPr>
              <w:pStyle w:val="68"/>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6" o:spt="75" type="#_x0000_t75" style="height:17.5pt;width:20.5pt;" o:ole="t" filled="f" o:preferrelative="t" stroked="f" coordsize="21600,21600">
                  <v:path/>
                  <v:fill on="f" focussize="0,0"/>
                  <v:stroke on="f" joinstyle="miter"/>
                  <v:imagedata r:id="rId37" o:title=""/>
                  <o:lock v:ext="edit" aspectratio="t"/>
                  <w10:wrap type="none"/>
                  <w10:anchorlock/>
                </v:shape>
                <o:OLEObject Type="Embed" ProgID="Equation.3" ShapeID="_x0000_i1036" DrawAspect="Content" ObjectID="_1468075736" r:id="rId38">
                  <o:LockedField>false</o:LockedField>
                </o:OLEObject>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pPr>
              <w:pStyle w:val="68"/>
              <w:rPr>
                <w:rFonts w:eastAsia="MS Mincho"/>
                <w:lang w:eastAsia="ja-JP"/>
              </w:rPr>
            </w:pPr>
            <w:r>
              <w:rPr>
                <w:rFonts w:eastAsia="MS Mincho"/>
                <w:position w:val="-6"/>
                <w:lang w:eastAsia="ja-JP"/>
              </w:rPr>
              <w:object>
                <v:shape id="_x0000_i1037" o:spt="75" type="#_x0000_t75" style="height:13.5pt;width:17.5pt;" o:ole="t" filled="f" o:preferrelative="t" stroked="f" coordsize="21600,21600">
                  <v:path/>
                  <v:fill on="f" focussize="0,0"/>
                  <v:stroke on="f" joinstyle="miter"/>
                  <v:imagedata r:id="rId40" o:title=""/>
                  <o:lock v:ext="edit" aspectratio="t"/>
                  <w10:wrap type="none"/>
                  <w10:anchorlock/>
                </v:shape>
                <o:OLEObject Type="Embed" ProgID="Equation.3" ShapeID="_x0000_i1037" DrawAspect="Content" ObjectID="_1468075737" r:id="rId39">
                  <o:LockedField>false</o:LockedField>
                </o:OLEObject>
              </w:object>
            </w:r>
            <w:r>
              <w:rPr>
                <w:rFonts w:eastAsia="MS Mincho"/>
                <w:lang w:eastAsia="ja-JP"/>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10°</w:t>
            </w:r>
          </w:p>
        </w:tc>
        <w:tc>
          <w:tcPr>
            <w:tcW w:w="1227" w:type="dxa"/>
            <w:shd w:val="clear" w:color="auto" w:fill="auto"/>
            <w:tcMar>
              <w:top w:w="11" w:type="dxa"/>
              <w:bottom w:w="11" w:type="dxa"/>
            </w:tcMar>
            <w:vAlign w:val="bottom"/>
          </w:tcPr>
          <w:p>
            <w:pPr>
              <w:pStyle w:val="68"/>
              <w:rPr>
                <w:rFonts w:cs="Calibri"/>
                <w:lang w:val="en"/>
              </w:rPr>
            </w:pPr>
            <w:r>
              <w:rPr>
                <w:lang w:val="en"/>
              </w:rPr>
              <w:t>1.79</w:t>
            </w:r>
          </w:p>
        </w:tc>
        <w:tc>
          <w:tcPr>
            <w:tcW w:w="1134" w:type="dxa"/>
            <w:shd w:val="clear" w:color="auto" w:fill="auto"/>
            <w:tcMar>
              <w:top w:w="11" w:type="dxa"/>
              <w:bottom w:w="11" w:type="dxa"/>
            </w:tcMar>
            <w:vAlign w:val="bottom"/>
          </w:tcPr>
          <w:p>
            <w:pPr>
              <w:pStyle w:val="68"/>
              <w:rPr>
                <w:rFonts w:cs="Calibri"/>
                <w:lang w:val="en"/>
              </w:rPr>
            </w:pPr>
            <w:r>
              <w:rPr>
                <w:lang w:val="en"/>
              </w:rPr>
              <w:t>8.93</w:t>
            </w:r>
          </w:p>
        </w:tc>
        <w:tc>
          <w:tcPr>
            <w:tcW w:w="1021" w:type="dxa"/>
            <w:shd w:val="clear" w:color="auto" w:fill="auto"/>
            <w:tcMar>
              <w:top w:w="11" w:type="dxa"/>
              <w:bottom w:w="11" w:type="dxa"/>
            </w:tcMar>
            <w:vAlign w:val="bottom"/>
          </w:tcPr>
          <w:p>
            <w:pPr>
              <w:pStyle w:val="68"/>
              <w:rPr>
                <w:rFonts w:cs="Calibri"/>
                <w:lang w:val="en"/>
              </w:rPr>
            </w:pPr>
            <w:r>
              <w:rPr>
                <w:lang w:val="en"/>
              </w:rPr>
              <w:t>19.52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20°</w:t>
            </w:r>
          </w:p>
        </w:tc>
        <w:tc>
          <w:tcPr>
            <w:tcW w:w="1227" w:type="dxa"/>
            <w:shd w:val="clear" w:color="auto" w:fill="auto"/>
            <w:tcMar>
              <w:top w:w="11" w:type="dxa"/>
              <w:bottom w:w="11" w:type="dxa"/>
            </w:tcMar>
            <w:vAlign w:val="bottom"/>
          </w:tcPr>
          <w:p>
            <w:pPr>
              <w:pStyle w:val="68"/>
              <w:rPr>
                <w:rFonts w:cs="Calibri"/>
                <w:lang w:val="en"/>
              </w:rPr>
            </w:pPr>
            <w:r>
              <w:rPr>
                <w:lang w:val="en"/>
              </w:rPr>
              <w:t>1.14</w:t>
            </w:r>
          </w:p>
        </w:tc>
        <w:tc>
          <w:tcPr>
            <w:tcW w:w="1134" w:type="dxa"/>
            <w:shd w:val="clear" w:color="auto" w:fill="auto"/>
            <w:tcMar>
              <w:top w:w="11" w:type="dxa"/>
              <w:bottom w:w="11" w:type="dxa"/>
            </w:tcMar>
            <w:vAlign w:val="bottom"/>
          </w:tcPr>
          <w:p>
            <w:pPr>
              <w:pStyle w:val="68"/>
              <w:rPr>
                <w:rFonts w:cs="Calibri"/>
                <w:lang w:val="en"/>
              </w:rPr>
            </w:pPr>
            <w:r>
              <w:rPr>
                <w:lang w:val="en"/>
              </w:rPr>
              <w:t>9.08</w:t>
            </w:r>
          </w:p>
        </w:tc>
        <w:tc>
          <w:tcPr>
            <w:tcW w:w="1021" w:type="dxa"/>
            <w:shd w:val="clear" w:color="auto" w:fill="auto"/>
            <w:tcMar>
              <w:top w:w="11" w:type="dxa"/>
              <w:bottom w:w="11" w:type="dxa"/>
            </w:tcMar>
            <w:vAlign w:val="bottom"/>
          </w:tcPr>
          <w:p>
            <w:pPr>
              <w:pStyle w:val="68"/>
              <w:rPr>
                <w:rFonts w:cs="Calibri"/>
                <w:lang w:val="en"/>
              </w:rPr>
            </w:pPr>
            <w:r>
              <w:rPr>
                <w:lang w:val="en"/>
              </w:rPr>
              <w:t>18.17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30°</w:t>
            </w:r>
          </w:p>
        </w:tc>
        <w:tc>
          <w:tcPr>
            <w:tcW w:w="1227" w:type="dxa"/>
            <w:shd w:val="clear" w:color="auto" w:fill="auto"/>
            <w:tcMar>
              <w:top w:w="11" w:type="dxa"/>
              <w:bottom w:w="11" w:type="dxa"/>
            </w:tcMar>
            <w:vAlign w:val="bottom"/>
          </w:tcPr>
          <w:p>
            <w:pPr>
              <w:pStyle w:val="68"/>
              <w:rPr>
                <w:rFonts w:cs="Calibri"/>
                <w:lang w:val="en"/>
              </w:rPr>
            </w:pPr>
            <w:r>
              <w:rPr>
                <w:lang w:val="en"/>
              </w:rPr>
              <w:t>1.14</w:t>
            </w:r>
          </w:p>
        </w:tc>
        <w:tc>
          <w:tcPr>
            <w:tcW w:w="1134" w:type="dxa"/>
            <w:shd w:val="clear" w:color="auto" w:fill="auto"/>
            <w:tcMar>
              <w:top w:w="11" w:type="dxa"/>
              <w:bottom w:w="11" w:type="dxa"/>
            </w:tcMar>
            <w:vAlign w:val="bottom"/>
          </w:tcPr>
          <w:p>
            <w:pPr>
              <w:pStyle w:val="68"/>
              <w:rPr>
                <w:rFonts w:cs="Calibri"/>
                <w:lang w:val="en"/>
              </w:rPr>
            </w:pPr>
            <w:r>
              <w:rPr>
                <w:lang w:val="en"/>
              </w:rPr>
              <w:t>8.78</w:t>
            </w:r>
          </w:p>
        </w:tc>
        <w:tc>
          <w:tcPr>
            <w:tcW w:w="1021" w:type="dxa"/>
            <w:shd w:val="clear" w:color="auto" w:fill="auto"/>
            <w:tcMar>
              <w:top w:w="11" w:type="dxa"/>
              <w:bottom w:w="11" w:type="dxa"/>
            </w:tcMar>
            <w:vAlign w:val="bottom"/>
          </w:tcPr>
          <w:p>
            <w:pPr>
              <w:pStyle w:val="68"/>
              <w:rPr>
                <w:rFonts w:cs="Calibri"/>
                <w:lang w:val="en"/>
              </w:rPr>
            </w:pPr>
            <w:r>
              <w:rPr>
                <w:lang w:val="en"/>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40°</w:t>
            </w:r>
          </w:p>
        </w:tc>
        <w:tc>
          <w:tcPr>
            <w:tcW w:w="1227" w:type="dxa"/>
            <w:shd w:val="clear" w:color="auto" w:fill="auto"/>
            <w:tcMar>
              <w:top w:w="11" w:type="dxa"/>
              <w:bottom w:w="11" w:type="dxa"/>
            </w:tcMar>
            <w:vAlign w:val="bottom"/>
          </w:tcPr>
          <w:p>
            <w:pPr>
              <w:pStyle w:val="68"/>
              <w:rPr>
                <w:rFonts w:cs="Calibri"/>
                <w:lang w:val="en"/>
              </w:rPr>
            </w:pPr>
            <w:r>
              <w:rPr>
                <w:lang w:val="en"/>
              </w:rPr>
              <w:t>0.92</w:t>
            </w:r>
          </w:p>
        </w:tc>
        <w:tc>
          <w:tcPr>
            <w:tcW w:w="1134" w:type="dxa"/>
            <w:shd w:val="clear" w:color="auto" w:fill="auto"/>
            <w:tcMar>
              <w:top w:w="11" w:type="dxa"/>
              <w:bottom w:w="11" w:type="dxa"/>
            </w:tcMar>
            <w:vAlign w:val="bottom"/>
          </w:tcPr>
          <w:p>
            <w:pPr>
              <w:pStyle w:val="68"/>
              <w:rPr>
                <w:rFonts w:cs="Calibri"/>
                <w:lang w:val="en"/>
              </w:rPr>
            </w:pPr>
            <w:r>
              <w:rPr>
                <w:lang w:val="en"/>
              </w:rPr>
              <w:t>10.25</w:t>
            </w:r>
          </w:p>
        </w:tc>
        <w:tc>
          <w:tcPr>
            <w:tcW w:w="1021" w:type="dxa"/>
            <w:shd w:val="clear" w:color="auto" w:fill="auto"/>
            <w:tcMar>
              <w:top w:w="11" w:type="dxa"/>
              <w:bottom w:w="11" w:type="dxa"/>
            </w:tcMar>
            <w:vAlign w:val="bottom"/>
          </w:tcPr>
          <w:p>
            <w:pPr>
              <w:pStyle w:val="68"/>
              <w:rPr>
                <w:rFonts w:cs="Calibri"/>
                <w:lang w:val="en"/>
              </w:rPr>
            </w:pPr>
            <w:r>
              <w:rPr>
                <w:lang w:val="en"/>
              </w:rPr>
              <w:t>18.28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50°</w:t>
            </w:r>
          </w:p>
        </w:tc>
        <w:tc>
          <w:tcPr>
            <w:tcW w:w="1227" w:type="dxa"/>
            <w:shd w:val="clear" w:color="auto" w:fill="auto"/>
            <w:tcMar>
              <w:top w:w="11" w:type="dxa"/>
              <w:bottom w:w="11" w:type="dxa"/>
            </w:tcMar>
            <w:vAlign w:val="bottom"/>
          </w:tcPr>
          <w:p>
            <w:pPr>
              <w:pStyle w:val="68"/>
              <w:rPr>
                <w:rFonts w:cs="Calibri"/>
                <w:lang w:val="en"/>
              </w:rPr>
            </w:pPr>
            <w:r>
              <w:rPr>
                <w:lang w:val="en"/>
              </w:rPr>
              <w:t>1.42</w:t>
            </w:r>
          </w:p>
        </w:tc>
        <w:tc>
          <w:tcPr>
            <w:tcW w:w="1134" w:type="dxa"/>
            <w:shd w:val="clear" w:color="auto" w:fill="auto"/>
            <w:tcMar>
              <w:top w:w="11" w:type="dxa"/>
              <w:bottom w:w="11" w:type="dxa"/>
            </w:tcMar>
            <w:vAlign w:val="bottom"/>
          </w:tcPr>
          <w:p>
            <w:pPr>
              <w:pStyle w:val="68"/>
              <w:rPr>
                <w:rFonts w:cs="Calibri"/>
                <w:lang w:val="en"/>
              </w:rPr>
            </w:pPr>
            <w:r>
              <w:rPr>
                <w:lang w:val="en"/>
              </w:rPr>
              <w:t>10.56</w:t>
            </w:r>
          </w:p>
        </w:tc>
        <w:tc>
          <w:tcPr>
            <w:tcW w:w="1021" w:type="dxa"/>
            <w:shd w:val="clear" w:color="auto" w:fill="auto"/>
            <w:tcMar>
              <w:top w:w="11" w:type="dxa"/>
              <w:bottom w:w="11" w:type="dxa"/>
            </w:tcMar>
            <w:vAlign w:val="bottom"/>
          </w:tcPr>
          <w:p>
            <w:pPr>
              <w:pStyle w:val="68"/>
              <w:rPr>
                <w:rFonts w:cs="Calibri"/>
                <w:lang w:val="en"/>
              </w:rPr>
            </w:pPr>
            <w:r>
              <w:rPr>
                <w:lang w:val="en"/>
              </w:rPr>
              <w:t>18.63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60°</w:t>
            </w:r>
          </w:p>
        </w:tc>
        <w:tc>
          <w:tcPr>
            <w:tcW w:w="1227" w:type="dxa"/>
            <w:shd w:val="clear" w:color="auto" w:fill="auto"/>
            <w:tcMar>
              <w:top w:w="11" w:type="dxa"/>
              <w:bottom w:w="11" w:type="dxa"/>
            </w:tcMar>
            <w:vAlign w:val="bottom"/>
          </w:tcPr>
          <w:p>
            <w:pPr>
              <w:pStyle w:val="68"/>
              <w:rPr>
                <w:rFonts w:cs="Calibri"/>
                <w:lang w:val="en"/>
              </w:rPr>
            </w:pPr>
            <w:r>
              <w:rPr>
                <w:lang w:val="en"/>
              </w:rPr>
              <w:t>1.56</w:t>
            </w:r>
          </w:p>
        </w:tc>
        <w:tc>
          <w:tcPr>
            <w:tcW w:w="1134" w:type="dxa"/>
            <w:shd w:val="clear" w:color="auto" w:fill="auto"/>
            <w:tcMar>
              <w:top w:w="11" w:type="dxa"/>
              <w:bottom w:w="11" w:type="dxa"/>
            </w:tcMar>
            <w:vAlign w:val="bottom"/>
          </w:tcPr>
          <w:p>
            <w:pPr>
              <w:pStyle w:val="68"/>
              <w:rPr>
                <w:rFonts w:cs="Calibri"/>
                <w:lang w:val="en"/>
              </w:rPr>
            </w:pPr>
            <w:r>
              <w:rPr>
                <w:lang w:val="en"/>
              </w:rPr>
              <w:t>10.74</w:t>
            </w:r>
          </w:p>
        </w:tc>
        <w:tc>
          <w:tcPr>
            <w:tcW w:w="1021" w:type="dxa"/>
            <w:shd w:val="clear" w:color="auto" w:fill="auto"/>
            <w:tcMar>
              <w:top w:w="11" w:type="dxa"/>
              <w:bottom w:w="11" w:type="dxa"/>
            </w:tcMar>
            <w:vAlign w:val="bottom"/>
          </w:tcPr>
          <w:p>
            <w:pPr>
              <w:pStyle w:val="68"/>
              <w:rPr>
                <w:rFonts w:cs="Calibri"/>
                <w:lang w:val="en"/>
              </w:rPr>
            </w:pPr>
            <w:r>
              <w:rPr>
                <w:lang w:val="en"/>
              </w:rPr>
              <w:t>17.68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70°</w:t>
            </w:r>
          </w:p>
        </w:tc>
        <w:tc>
          <w:tcPr>
            <w:tcW w:w="1227" w:type="dxa"/>
            <w:shd w:val="clear" w:color="auto" w:fill="auto"/>
            <w:tcMar>
              <w:top w:w="11" w:type="dxa"/>
              <w:bottom w:w="11" w:type="dxa"/>
            </w:tcMar>
            <w:vAlign w:val="bottom"/>
          </w:tcPr>
          <w:p>
            <w:pPr>
              <w:pStyle w:val="68"/>
              <w:rPr>
                <w:rFonts w:cs="Calibri"/>
                <w:lang w:val="en"/>
              </w:rPr>
            </w:pPr>
            <w:r>
              <w:rPr>
                <w:lang w:val="en"/>
              </w:rPr>
              <w:t>0.85</w:t>
            </w:r>
          </w:p>
        </w:tc>
        <w:tc>
          <w:tcPr>
            <w:tcW w:w="1134" w:type="dxa"/>
            <w:shd w:val="clear" w:color="auto" w:fill="auto"/>
            <w:tcMar>
              <w:top w:w="11" w:type="dxa"/>
              <w:bottom w:w="11" w:type="dxa"/>
            </w:tcMar>
            <w:vAlign w:val="bottom"/>
          </w:tcPr>
          <w:p>
            <w:pPr>
              <w:pStyle w:val="68"/>
              <w:rPr>
                <w:rFonts w:cs="Calibri"/>
                <w:lang w:val="en"/>
              </w:rPr>
            </w:pPr>
            <w:r>
              <w:rPr>
                <w:lang w:val="en"/>
              </w:rPr>
              <w:t>10.17</w:t>
            </w:r>
          </w:p>
        </w:tc>
        <w:tc>
          <w:tcPr>
            <w:tcW w:w="1021" w:type="dxa"/>
            <w:shd w:val="clear" w:color="auto" w:fill="auto"/>
            <w:tcMar>
              <w:top w:w="11" w:type="dxa"/>
              <w:bottom w:w="11" w:type="dxa"/>
            </w:tcMar>
            <w:vAlign w:val="bottom"/>
          </w:tcPr>
          <w:p>
            <w:pPr>
              <w:pStyle w:val="68"/>
              <w:rPr>
                <w:rFonts w:cs="Calibri"/>
                <w:lang w:val="en"/>
              </w:rPr>
            </w:pPr>
            <w:r>
              <w:rPr>
                <w:lang w:val="en"/>
              </w:rPr>
              <w:t>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80°</w:t>
            </w:r>
          </w:p>
        </w:tc>
        <w:tc>
          <w:tcPr>
            <w:tcW w:w="1227" w:type="dxa"/>
            <w:shd w:val="clear" w:color="auto" w:fill="auto"/>
            <w:tcMar>
              <w:top w:w="11" w:type="dxa"/>
              <w:bottom w:w="11" w:type="dxa"/>
            </w:tcMar>
            <w:vAlign w:val="bottom"/>
          </w:tcPr>
          <w:p>
            <w:pPr>
              <w:pStyle w:val="68"/>
              <w:rPr>
                <w:rFonts w:cs="Calibri"/>
                <w:lang w:val="en"/>
              </w:rPr>
            </w:pPr>
            <w:r>
              <w:rPr>
                <w:lang w:val="en"/>
              </w:rPr>
              <w:t>0.72</w:t>
            </w:r>
          </w:p>
        </w:tc>
        <w:tc>
          <w:tcPr>
            <w:tcW w:w="1134" w:type="dxa"/>
            <w:shd w:val="clear" w:color="auto" w:fill="auto"/>
            <w:tcMar>
              <w:top w:w="11" w:type="dxa"/>
              <w:bottom w:w="11" w:type="dxa"/>
            </w:tcMar>
            <w:vAlign w:val="bottom"/>
          </w:tcPr>
          <w:p>
            <w:pPr>
              <w:pStyle w:val="68"/>
              <w:rPr>
                <w:rFonts w:cs="Calibri"/>
                <w:lang w:val="en"/>
              </w:rPr>
            </w:pPr>
            <w:r>
              <w:rPr>
                <w:lang w:val="en"/>
              </w:rPr>
              <w:t>11.52</w:t>
            </w:r>
          </w:p>
        </w:tc>
        <w:tc>
          <w:tcPr>
            <w:tcW w:w="1021" w:type="dxa"/>
            <w:shd w:val="clear" w:color="auto" w:fill="auto"/>
            <w:tcMar>
              <w:top w:w="11" w:type="dxa"/>
              <w:bottom w:w="11" w:type="dxa"/>
            </w:tcMar>
            <w:vAlign w:val="bottom"/>
          </w:tcPr>
          <w:p>
            <w:pPr>
              <w:pStyle w:val="68"/>
              <w:rPr>
                <w:rFonts w:cs="Calibri"/>
                <w:lang w:val="en"/>
              </w:rPr>
            </w:pPr>
            <w:r>
              <w:rPr>
                <w:lang w:val="en"/>
              </w:rPr>
              <w:t>16.30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8"/>
            </w:pPr>
            <w:r>
              <w:t>90°</w:t>
            </w:r>
          </w:p>
        </w:tc>
        <w:tc>
          <w:tcPr>
            <w:tcW w:w="1227" w:type="dxa"/>
            <w:shd w:val="clear" w:color="auto" w:fill="auto"/>
            <w:tcMar>
              <w:top w:w="11" w:type="dxa"/>
              <w:bottom w:w="11" w:type="dxa"/>
            </w:tcMar>
            <w:vAlign w:val="bottom"/>
          </w:tcPr>
          <w:p>
            <w:pPr>
              <w:pStyle w:val="68"/>
              <w:rPr>
                <w:rFonts w:cs="Calibri"/>
                <w:lang w:val="en"/>
              </w:rPr>
            </w:pPr>
            <w:r>
              <w:rPr>
                <w:lang w:val="en"/>
              </w:rPr>
              <w:t>0.72</w:t>
            </w:r>
          </w:p>
        </w:tc>
        <w:tc>
          <w:tcPr>
            <w:tcW w:w="1134" w:type="dxa"/>
            <w:shd w:val="clear" w:color="auto" w:fill="auto"/>
            <w:tcMar>
              <w:top w:w="11" w:type="dxa"/>
              <w:bottom w:w="11" w:type="dxa"/>
            </w:tcMar>
            <w:vAlign w:val="bottom"/>
          </w:tcPr>
          <w:p>
            <w:pPr>
              <w:pStyle w:val="68"/>
              <w:rPr>
                <w:rFonts w:cs="Calibri"/>
                <w:lang w:val="en"/>
              </w:rPr>
            </w:pPr>
            <w:r>
              <w:rPr>
                <w:lang w:val="en"/>
              </w:rPr>
              <w:t>11.52</w:t>
            </w:r>
          </w:p>
        </w:tc>
        <w:tc>
          <w:tcPr>
            <w:tcW w:w="1021" w:type="dxa"/>
            <w:shd w:val="clear" w:color="auto" w:fill="auto"/>
            <w:tcMar>
              <w:top w:w="11" w:type="dxa"/>
              <w:bottom w:w="11" w:type="dxa"/>
            </w:tcMar>
            <w:vAlign w:val="bottom"/>
          </w:tcPr>
          <w:p>
            <w:pPr>
              <w:pStyle w:val="68"/>
              <w:rPr>
                <w:rFonts w:cs="Calibri"/>
                <w:lang w:val="en"/>
              </w:rPr>
            </w:pPr>
            <w:r>
              <w:rPr>
                <w:lang w:val="en"/>
              </w:rPr>
              <w:t>16.30</w:t>
            </w:r>
          </w:p>
        </w:tc>
      </w:tr>
    </w:tbl>
    <w:p/>
    <w:p>
      <w:pPr>
        <w:pStyle w:val="5"/>
      </w:pPr>
      <w:bookmarkStart w:id="298" w:name="_Toc26144"/>
      <w:bookmarkStart w:id="299" w:name="_Toc8095"/>
      <w:bookmarkStart w:id="300" w:name="_Toc2266"/>
      <w:bookmarkStart w:id="301" w:name="_Toc5387"/>
      <w:bookmarkStart w:id="302" w:name="_Toc133498133"/>
      <w:bookmarkStart w:id="303" w:name="_Toc12137"/>
      <w:bookmarkStart w:id="304" w:name="_Toc22220"/>
      <w:bookmarkStart w:id="305" w:name="_Toc22872"/>
      <w:bookmarkStart w:id="306" w:name="_Toc9485"/>
      <w:bookmarkStart w:id="307" w:name="_Toc10475"/>
      <w:r>
        <w:rPr>
          <w:rFonts w:hint="eastAsia"/>
        </w:rPr>
        <w:t xml:space="preserve">6.2.5.2 </w:t>
      </w:r>
      <w:r>
        <w:t>Propagation model between TN BS and TN UE</w:t>
      </w:r>
      <w:bookmarkEnd w:id="298"/>
      <w:bookmarkEnd w:id="299"/>
      <w:bookmarkEnd w:id="300"/>
      <w:bookmarkEnd w:id="301"/>
      <w:bookmarkEnd w:id="302"/>
      <w:bookmarkEnd w:id="303"/>
      <w:bookmarkEnd w:id="304"/>
      <w:bookmarkEnd w:id="305"/>
      <w:bookmarkEnd w:id="306"/>
      <w:bookmarkEnd w:id="307"/>
    </w:p>
    <w:p>
      <w:pPr>
        <w:rPr>
          <w:rFonts w:hint="default"/>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rFonts w:hint="default"/>
          <w:lang w:val="en-US" w:eastAsia="zh-CN"/>
        </w:rPr>
        <w:t>’</w:t>
      </w:r>
      <w:r>
        <w:rPr>
          <w:rFonts w:hint="eastAsia"/>
          <w:lang w:val="en-US" w:eastAsia="zh-CN"/>
        </w:rPr>
        <w:t>s noted we assume all TN UE are outdoor, therefore there is no indoor distance and no O2I building penetration loss in simulation.</w:t>
      </w:r>
    </w:p>
    <w:p>
      <w:pPr>
        <w:rPr>
          <w:b/>
          <w:lang w:eastAsia="zh-CN"/>
        </w:rPr>
      </w:pPr>
      <w:r>
        <w:rPr>
          <w:rFonts w:hint="eastAsia"/>
          <w:b/>
        </w:rPr>
        <w:t>Pathloss</w:t>
      </w:r>
      <w:r>
        <w:rPr>
          <w:b/>
        </w:rPr>
        <w:t>:</w:t>
      </w:r>
    </w:p>
    <w:p>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pPr>
        <w:pStyle w:val="76"/>
        <w:rPr>
          <w:lang w:eastAsia="ko-KR"/>
        </w:rPr>
      </w:pPr>
      <w:bookmarkStart w:id="308" w:name="_Ref363806083"/>
      <w:bookmarkEnd w:id="308"/>
      <w:bookmarkStart w:id="309" w:name="_Ref363806159"/>
      <w:bookmarkEnd w:id="309"/>
    </w:p>
    <w:tbl>
      <w:tblPr>
        <w:tblStyle w:val="49"/>
        <w:tblW w:w="0" w:type="auto"/>
        <w:tblInd w:w="0" w:type="dxa"/>
        <w:tblLayout w:type="autofit"/>
        <w:tblCellMar>
          <w:top w:w="0" w:type="dxa"/>
          <w:left w:w="108" w:type="dxa"/>
          <w:bottom w:w="0" w:type="dxa"/>
          <w:right w:w="108" w:type="dxa"/>
        </w:tblCellMar>
      </w:tblPr>
      <w:tblGrid>
        <w:gridCol w:w="4914"/>
        <w:gridCol w:w="4914"/>
      </w:tblGrid>
      <w:tr>
        <w:tblPrEx>
          <w:tblCellMar>
            <w:top w:w="0" w:type="dxa"/>
            <w:left w:w="108" w:type="dxa"/>
            <w:bottom w:w="0" w:type="dxa"/>
            <w:right w:w="108" w:type="dxa"/>
          </w:tblCellMar>
        </w:tblPrEx>
        <w:tc>
          <w:tcPr>
            <w:tcW w:w="4914" w:type="dxa"/>
            <w:shd w:val="clear" w:color="auto" w:fill="auto"/>
          </w:tcPr>
          <w:p>
            <w:pPr>
              <w:pStyle w:val="76"/>
              <w:rPr>
                <w:lang w:eastAsia="ko-KR"/>
              </w:rPr>
            </w:pPr>
            <w:r>
              <w:object>
                <v:shape id="_x0000_i1038" o:spt="75" type="#_x0000_t75" style="height:112pt;width:208.5pt;" o:ole="t" filled="f" o:preferrelative="t" stroked="f" coordsize="21600,21600">
                  <v:path/>
                  <v:fill on="f" focussize="0,0"/>
                  <v:stroke on="f" joinstyle="miter"/>
                  <v:imagedata r:id="rId42" o:title=""/>
                  <o:lock v:ext="edit" aspectratio="t"/>
                  <w10:wrap type="none"/>
                  <w10:anchorlock/>
                </v:shape>
                <o:OLEObject Type="Embed" ProgID="Visio.Drawing.11" ShapeID="_x0000_i1038" DrawAspect="Content" ObjectID="_1468075738" r:id="rId41">
                  <o:LockedField>false</o:LockedField>
                </o:OLEObject>
              </w:object>
            </w:r>
          </w:p>
        </w:tc>
        <w:tc>
          <w:tcPr>
            <w:tcW w:w="4914" w:type="dxa"/>
            <w:shd w:val="clear" w:color="auto" w:fill="auto"/>
          </w:tcPr>
          <w:p>
            <w:pPr>
              <w:pStyle w:val="76"/>
              <w:rPr>
                <w:lang w:eastAsia="ko-KR"/>
              </w:rPr>
            </w:pPr>
            <w:r>
              <w:object>
                <v:shape id="_x0000_i1039" o:spt="75" type="#_x0000_t75" style="height:115pt;width:215pt;" o:ole="t" filled="f" o:preferrelative="t" stroked="f" coordsize="21600,21600">
                  <v:path/>
                  <v:fill on="f" focussize="0,0"/>
                  <v:stroke on="f" joinstyle="miter"/>
                  <v:imagedata r:id="rId44" o:title=""/>
                  <o:lock v:ext="edit" aspectratio="t"/>
                  <w10:wrap type="none"/>
                  <w10:anchorlock/>
                </v:shape>
                <o:OLEObject Type="Embed" ProgID="Visio.Drawing.11" ShapeID="_x0000_i1039" DrawAspect="Content" ObjectID="_1468075739" r:id="rId4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14" w:type="dxa"/>
            <w:tcBorders>
              <w:top w:val="nil"/>
              <w:left w:val="nil"/>
              <w:bottom w:val="nil"/>
              <w:right w:val="nil"/>
            </w:tcBorders>
            <w:shd w:val="clear" w:color="auto" w:fill="auto"/>
          </w:tcPr>
          <w:p>
            <w:pPr>
              <w:pStyle w:val="83"/>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ype="textWrapping"/>
            </w:r>
            <w:r>
              <w:t>for outdoor UTs</w:t>
            </w:r>
          </w:p>
        </w:tc>
        <w:tc>
          <w:tcPr>
            <w:tcW w:w="4914" w:type="dxa"/>
            <w:tcBorders>
              <w:top w:val="nil"/>
              <w:left w:val="nil"/>
              <w:bottom w:val="nil"/>
              <w:right w:val="nil"/>
            </w:tcBorders>
            <w:shd w:val="clear" w:color="auto" w:fill="auto"/>
          </w:tcPr>
          <w:p>
            <w:pPr>
              <w:pStyle w:val="83"/>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ype="textWrapping"/>
            </w:r>
            <w: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pPr>
        <w:spacing w:after="200" w:line="276" w:lineRule="auto"/>
      </w:pPr>
      <w:r>
        <w:t xml:space="preserve">Note that </w:t>
      </w:r>
    </w:p>
    <w:p>
      <w:pPr>
        <w:pStyle w:val="58"/>
        <w:tabs>
          <w:tab w:val="center" w:pos="4820"/>
          <w:tab w:val="clear" w:pos="4536"/>
        </w:tabs>
        <w:rPr>
          <w:lang w:eastAsia="ko-KR"/>
        </w:rPr>
      </w:pPr>
      <w:r>
        <w:tab/>
      </w:r>
      <w:r>
        <w:rPr>
          <w:position w:val="-14"/>
        </w:rPr>
        <w:object>
          <v:shape id="_x0000_i1040" o:spt="75" type="#_x0000_t75" style="height:23.5pt;width:242pt;" o:ole="t" filled="f" o:preferrelative="t" stroked="f" coordsize="21600,21600">
            <v:path/>
            <v:fill on="f" focussize="0,0"/>
            <v:stroke on="f" joinstyle="miter"/>
            <v:imagedata r:id="rId46" o:title=""/>
            <o:lock v:ext="edit" aspectratio="t"/>
            <w10:wrap type="none"/>
            <w10:anchorlock/>
          </v:shape>
          <o:OLEObject Type="Embed" ProgID="Equation.3" ShapeID="_x0000_i1040" DrawAspect="Content" ObjectID="_1468075740" r:id="rId45">
            <o:LockedField>false</o:LockedField>
          </o:OLEObject>
        </w:object>
      </w:r>
      <w:r>
        <w:tab/>
      </w:r>
      <w:r>
        <w:t>(7.4-1)</w:t>
      </w:r>
    </w:p>
    <w:p/>
    <w:p>
      <w:pPr>
        <w:pStyle w:val="76"/>
        <w:keepNext w:val="0"/>
        <w:keepLines w:val="0"/>
      </w:pPr>
      <w:r>
        <w:t>Table 6.2.5.2-1: Pathloss models</w:t>
      </w:r>
    </w:p>
    <w:tbl>
      <w:tblPr>
        <w:tblStyle w:val="49"/>
        <w:tblW w:w="10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5"/>
        <w:gridCol w:w="445"/>
        <w:gridCol w:w="6040"/>
        <w:gridCol w:w="1029"/>
        <w:gridCol w:w="2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8" w:hRule="atLeast"/>
          <w:tblHeader/>
        </w:trPr>
        <w:tc>
          <w:tcPr>
            <w:tcW w:w="0" w:type="auto"/>
            <w:shd w:val="clear" w:color="auto" w:fill="D9D9D9"/>
            <w:textDirection w:val="btLr"/>
            <w:vAlign w:val="center"/>
          </w:tcPr>
          <w:p>
            <w:pPr>
              <w:pStyle w:val="67"/>
              <w:keepNext w:val="0"/>
              <w:keepLines w:val="0"/>
              <w:ind w:left="113" w:right="113"/>
              <w:rPr>
                <w:szCs w:val="18"/>
              </w:rPr>
            </w:pPr>
            <w:r>
              <w:rPr>
                <w:szCs w:val="18"/>
              </w:rPr>
              <w:t>Scenario</w:t>
            </w:r>
          </w:p>
        </w:tc>
        <w:tc>
          <w:tcPr>
            <w:tcW w:w="0" w:type="auto"/>
            <w:shd w:val="clear" w:color="auto" w:fill="D9D9D9"/>
            <w:textDirection w:val="btLr"/>
            <w:vAlign w:val="center"/>
          </w:tcPr>
          <w:p>
            <w:pPr>
              <w:pStyle w:val="67"/>
              <w:keepNext w:val="0"/>
              <w:keepLines w:val="0"/>
              <w:ind w:left="113" w:right="113"/>
              <w:rPr>
                <w:szCs w:val="18"/>
              </w:rPr>
            </w:pPr>
            <w:r>
              <w:rPr>
                <w:szCs w:val="18"/>
              </w:rPr>
              <w:t>LOS/NLOS</w:t>
            </w:r>
          </w:p>
        </w:tc>
        <w:tc>
          <w:tcPr>
            <w:tcW w:w="0" w:type="auto"/>
            <w:shd w:val="clear" w:color="auto" w:fill="D9D9D9"/>
            <w:vAlign w:val="center"/>
          </w:tcPr>
          <w:p>
            <w:pPr>
              <w:pStyle w:val="67"/>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pPr>
              <w:pStyle w:val="67"/>
              <w:keepNext w:val="0"/>
              <w:keepLines w:val="0"/>
              <w:rPr>
                <w:rFonts w:cs="Arial"/>
                <w:szCs w:val="18"/>
              </w:rPr>
            </w:pPr>
            <w:r>
              <w:rPr>
                <w:rFonts w:cs="Arial"/>
                <w:szCs w:val="18"/>
              </w:rPr>
              <w:t xml:space="preserve">Shadow </w:t>
            </w:r>
          </w:p>
          <w:p>
            <w:pPr>
              <w:pStyle w:val="67"/>
              <w:keepNext w:val="0"/>
              <w:keepLines w:val="0"/>
              <w:rPr>
                <w:rFonts w:cs="Arial"/>
                <w:szCs w:val="18"/>
              </w:rPr>
            </w:pPr>
            <w:r>
              <w:rPr>
                <w:rFonts w:cs="Arial"/>
                <w:szCs w:val="18"/>
              </w:rPr>
              <w:t xml:space="preserve">fading </w:t>
            </w:r>
          </w:p>
          <w:p>
            <w:pPr>
              <w:pStyle w:val="67"/>
              <w:keepNext w:val="0"/>
              <w:keepLines w:val="0"/>
              <w:rPr>
                <w:rFonts w:cs="Arial"/>
                <w:szCs w:val="18"/>
              </w:rPr>
            </w:pPr>
            <w:r>
              <w:rPr>
                <w:rFonts w:cs="Arial"/>
                <w:szCs w:val="18"/>
              </w:rPr>
              <w:t>std [dB]</w:t>
            </w:r>
          </w:p>
        </w:tc>
        <w:tc>
          <w:tcPr>
            <w:tcW w:w="0" w:type="auto"/>
            <w:shd w:val="clear" w:color="auto" w:fill="D9D9D9"/>
            <w:vAlign w:val="center"/>
          </w:tcPr>
          <w:p>
            <w:pPr>
              <w:pStyle w:val="67"/>
              <w:keepNext w:val="0"/>
              <w:keepLines w:val="0"/>
              <w:rPr>
                <w:rFonts w:cs="Arial"/>
                <w:szCs w:val="18"/>
              </w:rPr>
            </w:pPr>
            <w:r>
              <w:rPr>
                <w:rFonts w:cs="Arial"/>
                <w:szCs w:val="18"/>
              </w:rPr>
              <w:t xml:space="preserve">Applicability range, </w:t>
            </w:r>
          </w:p>
          <w:p>
            <w:pPr>
              <w:pStyle w:val="67"/>
              <w:keepNext w:val="0"/>
              <w:keepLines w:val="0"/>
              <w:rPr>
                <w:rFonts w:cs="Arial"/>
                <w:szCs w:val="18"/>
              </w:rPr>
            </w:pPr>
            <w:r>
              <w:rPr>
                <w:rFonts w:cs="Arial"/>
                <w:szCs w:val="18"/>
              </w:rPr>
              <w:t xml:space="preserve">antenna height </w:t>
            </w:r>
          </w:p>
          <w:p>
            <w:pPr>
              <w:pStyle w:val="67"/>
              <w:keepNext w:val="0"/>
              <w:keepLines w:val="0"/>
              <w:rPr>
                <w:rFonts w:cs="Arial"/>
                <w:szCs w:val="18"/>
              </w:rPr>
            </w:pPr>
            <w:r>
              <w:rPr>
                <w:rFonts w:cs="Arial"/>
                <w:szCs w:val="18"/>
              </w:rPr>
              <w:t xml:space="preserve">default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restart"/>
            <w:shd w:val="clear" w:color="auto" w:fill="F2F2F2"/>
            <w:textDirection w:val="btLr"/>
            <w:vAlign w:val="center"/>
          </w:tcPr>
          <w:p>
            <w:pPr>
              <w:pStyle w:val="67"/>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pPr>
              <w:pStyle w:val="67"/>
              <w:keepNext w:val="0"/>
              <w:keepLines w:val="0"/>
              <w:ind w:left="113" w:right="113"/>
              <w:rPr>
                <w:szCs w:val="18"/>
                <w:lang w:eastAsia="ko-KR"/>
              </w:rPr>
            </w:pPr>
            <w:r>
              <w:rPr>
                <w:szCs w:val="18"/>
                <w:lang w:eastAsia="ko-KR"/>
              </w:rPr>
              <w:t>LOS</w:t>
            </w:r>
          </w:p>
        </w:tc>
        <w:tc>
          <w:tcPr>
            <w:tcW w:w="0" w:type="auto"/>
          </w:tcPr>
          <w:p>
            <w:pPr>
              <w:pStyle w:val="134"/>
              <w:rPr>
                <w:rFonts w:ascii="Arial" w:hAnsi="Arial" w:cs="Arial"/>
                <w:sz w:val="18"/>
                <w:szCs w:val="18"/>
              </w:rPr>
            </w:pPr>
            <w:r>
              <w:rPr>
                <w:rFonts w:ascii="Arial" w:hAnsi="Arial" w:cs="Arial"/>
                <w:position w:val="-32"/>
                <w:sz w:val="18"/>
                <w:szCs w:val="18"/>
              </w:rPr>
              <w:object>
                <v:shape id="_x0000_i1041" o:spt="75" type="#_x0000_t75" style="height:37.5pt;width:180.5pt;" o:ole="t" filled="f" o:preferrelative="t" stroked="f" coordsize="21600,21600">
                  <v:path/>
                  <v:fill on="f" focussize="0,0"/>
                  <v:stroke on="f" joinstyle="miter"/>
                  <v:imagedata r:id="rId48" o:title=""/>
                  <o:lock v:ext="edit" aspectratio="t"/>
                  <w10:wrap type="none"/>
                  <w10:anchorlock/>
                </v:shape>
                <o:OLEObject Type="Embed" ProgID="Equation.3" ShapeID="_x0000_i1041" DrawAspect="Content" ObjectID="_1468075741" r:id="rId47">
                  <o:LockedField>false</o:LockedField>
                </o:OLEObject>
              </w:object>
            </w:r>
            <w:r>
              <w:rPr>
                <w:rFonts w:ascii="Arial" w:hAnsi="Arial" w:cs="Arial"/>
                <w:sz w:val="18"/>
                <w:szCs w:val="18"/>
              </w:rPr>
              <w:t>, see note 5</w:t>
            </w:r>
          </w:p>
          <w:p>
            <w:pPr>
              <w:pStyle w:val="134"/>
              <w:rPr>
                <w:rFonts w:ascii="Arial" w:hAnsi="Arial" w:cs="Arial"/>
                <w:sz w:val="18"/>
                <w:szCs w:val="18"/>
              </w:rPr>
            </w:pPr>
          </w:p>
          <w:p>
            <w:pPr>
              <w:pStyle w:val="134"/>
              <w:rPr>
                <w:rFonts w:ascii="Arial" w:hAnsi="Arial" w:eastAsia="MS Mincho" w:cs="Arial"/>
                <w:i/>
                <w:iCs/>
                <w:sz w:val="18"/>
                <w:szCs w:val="18"/>
                <w:lang w:val="en-US"/>
              </w:rPr>
            </w:pPr>
            <w:r>
              <w:rPr>
                <w:rFonts w:ascii="Arial" w:hAnsi="Arial" w:cs="Arial"/>
                <w:position w:val="-32"/>
                <w:sz w:val="18"/>
                <w:szCs w:val="18"/>
              </w:rPr>
              <w:object>
                <v:shape id="_x0000_i1042" o:spt="75" type="#_x0000_t75" style="height:37.5pt;width:275.5pt;" o:ole="t" filled="f" o:preferrelative="t" stroked="f" coordsize="21600,21600">
                  <v:path/>
                  <v:fill on="f" focussize="0,0"/>
                  <v:stroke on="f" joinstyle="miter"/>
                  <v:imagedata r:id="rId50" o:title=""/>
                  <o:lock v:ext="edit" aspectratio="t"/>
                  <w10:wrap type="none"/>
                  <w10:anchorlock/>
                </v:shape>
                <o:OLEObject Type="Embed" ProgID="Equation.3" ShapeID="_x0000_i1042" DrawAspect="Content" ObjectID="_1468075742" r:id="rId49">
                  <o:LockedField>false</o:LockedField>
                </o:OLEObject>
              </w:object>
            </w:r>
          </w:p>
          <w:p>
            <w:pPr>
              <w:pStyle w:val="134"/>
              <w:rPr>
                <w:rFonts w:ascii="Arial" w:hAnsi="Arial" w:eastAsia="MS Mincho" w:cs="Arial"/>
                <w:sz w:val="18"/>
                <w:szCs w:val="18"/>
                <w:lang w:eastAsia="ja-JP"/>
              </w:rPr>
            </w:pPr>
            <w:r>
              <w:rPr>
                <w:rFonts w:ascii="Arial" w:hAnsi="Arial" w:cs="Arial"/>
                <w:position w:val="-12"/>
                <w:sz w:val="18"/>
                <w:szCs w:val="18"/>
              </w:rPr>
              <w:object>
                <v:shape id="_x0000_i1043" o:spt="75" type="#_x0000_t75" style="height:17.5pt;width:172.5pt;" o:ole="t" filled="f" o:preferrelative="t" stroked="f" coordsize="21600,21600">
                  <v:path/>
                  <v:fill on="f" focussize="0,0"/>
                  <v:stroke on="f" joinstyle="miter"/>
                  <v:imagedata r:id="rId52" o:title=""/>
                  <o:lock v:ext="edit" aspectratio="t"/>
                  <w10:wrap type="none"/>
                  <w10:anchorlock/>
                </v:shape>
                <o:OLEObject Type="Embed" ProgID="Equation.3" ShapeID="_x0000_i1043" DrawAspect="Content" ObjectID="_1468075743" r:id="rId51">
                  <o:LockedField>false</o:LockedField>
                </o:OLEObject>
              </w:object>
            </w:r>
          </w:p>
        </w:tc>
        <w:tc>
          <w:tcPr>
            <w:tcW w:w="0" w:type="auto"/>
          </w:tcPr>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eastAsia="MS Mincho" w:cs="Arial"/>
                <w:sz w:val="18"/>
                <w:szCs w:val="18"/>
                <w:lang w:eastAsia="ja-JP"/>
              </w:rPr>
            </w:pPr>
            <w:r>
              <w:rPr>
                <w:rFonts w:ascii="Arial" w:hAnsi="Arial" w:cs="Arial"/>
                <w:position w:val="-12"/>
                <w:sz w:val="18"/>
                <w:szCs w:val="18"/>
              </w:rPr>
              <w:object>
                <v:shape id="_x0000_i1044" o:spt="75" type="#_x0000_t75" style="height:17.5pt;width:38pt;" o:ole="t" filled="f" o:preferrelative="t" stroked="f" coordsize="21600,21600">
                  <v:path/>
                  <v:fill on="f" focussize="0,0"/>
                  <v:stroke on="f" joinstyle="miter"/>
                  <v:imagedata r:id="rId54" o:title=""/>
                  <o:lock v:ext="edit" aspectratio="t"/>
                  <w10:wrap type="none"/>
                  <w10:anchorlock/>
                </v:shape>
                <o:OLEObject Type="Embed" ProgID="Equation.3" ShapeID="_x0000_i1044" DrawAspect="Content" ObjectID="_1468075744" r:id="rId53">
                  <o:LockedField>false</o:LockedField>
                </o:OLEObject>
              </w:object>
            </w:r>
          </w:p>
          <w:p>
            <w:pPr>
              <w:pStyle w:val="134"/>
              <w:jc w:val="center"/>
              <w:rPr>
                <w:rFonts w:ascii="Arial" w:hAnsi="Arial" w:eastAsia="MS Mincho" w:cs="Arial"/>
                <w:sz w:val="18"/>
                <w:szCs w:val="18"/>
                <w:lang w:eastAsia="ja-JP"/>
              </w:rPr>
            </w:pPr>
          </w:p>
          <w:p>
            <w:pPr>
              <w:pStyle w:val="134"/>
              <w:jc w:val="center"/>
              <w:rPr>
                <w:rFonts w:ascii="Arial" w:hAnsi="Arial" w:eastAsia="MS Mincho" w:cs="Arial"/>
                <w:sz w:val="18"/>
                <w:szCs w:val="18"/>
              </w:rPr>
            </w:pPr>
            <w:r>
              <w:rPr>
                <w:rFonts w:ascii="Arial" w:hAnsi="Arial" w:cs="Arial"/>
                <w:position w:val="-12"/>
                <w:sz w:val="18"/>
                <w:szCs w:val="18"/>
              </w:rPr>
              <w:object>
                <v:shape id="_x0000_i1045" o:spt="75" type="#_x0000_t75" style="height:17.5pt;width:37.5pt;" o:ole="t" filled="f" o:preferrelative="t" stroked="f" coordsize="21600,21600">
                  <v:path/>
                  <v:fill on="f" focussize="0,0"/>
                  <v:stroke on="f" joinstyle="miter"/>
                  <v:imagedata r:id="rId56" o:title=""/>
                  <o:lock v:ext="edit" aspectratio="t"/>
                  <w10:wrap type="none"/>
                  <w10:anchorlock/>
                </v:shape>
                <o:OLEObject Type="Embed" ProgID="Equation.3" ShapeID="_x0000_i1045" DrawAspect="Content" ObjectID="_1468075745" r:id="rId55">
                  <o:LockedField>false</o:LockedField>
                </o:OLEObject>
              </w:object>
            </w:r>
          </w:p>
        </w:tc>
        <w:tc>
          <w:tcPr>
            <w:tcW w:w="0" w:type="auto"/>
            <w:vMerge w:val="restart"/>
          </w:tcPr>
          <w:p>
            <w:pPr>
              <w:pStyle w:val="134"/>
              <w:rPr>
                <w:rFonts w:ascii="Arial" w:hAnsi="Arial" w:cs="Arial"/>
                <w:sz w:val="18"/>
                <w:szCs w:val="18"/>
              </w:rPr>
            </w:pPr>
            <w:r>
              <w:rPr>
                <w:rFonts w:ascii="Arial" w:hAnsi="Arial" w:cs="Arial"/>
                <w:position w:val="-12"/>
                <w:sz w:val="18"/>
                <w:szCs w:val="18"/>
              </w:rPr>
              <w:object>
                <v:shape id="_x0000_i1046" o:spt="75" type="#_x0000_t75" style="height:17.5pt;width:52.5pt;" o:ole="t" filled="f" o:preferrelative="t" stroked="f" coordsize="21600,21600">
                  <v:path/>
                  <v:fill on="f" focussize="0,0"/>
                  <v:stroke on="f" joinstyle="miter"/>
                  <v:imagedata r:id="rId58" o:title=""/>
                  <o:lock v:ext="edit" aspectratio="t"/>
                  <w10:wrap type="none"/>
                  <w10:anchorlock/>
                </v:shape>
                <o:OLEObject Type="Embed" ProgID="Equation.3" ShapeID="_x0000_i1046" DrawAspect="Content" ObjectID="_1468075746" r:id="rId57">
                  <o:LockedField>false</o:LockedField>
                </o:OLEObject>
              </w:object>
            </w:r>
          </w:p>
          <w:p>
            <w:pPr>
              <w:pStyle w:val="134"/>
              <w:rPr>
                <w:rFonts w:ascii="Arial" w:hAnsi="Arial" w:cs="Arial"/>
                <w:sz w:val="18"/>
                <w:szCs w:val="18"/>
              </w:rPr>
            </w:pPr>
            <w:r>
              <w:rPr>
                <w:rFonts w:ascii="Arial" w:hAnsi="Arial" w:cs="Arial"/>
                <w:position w:val="-12"/>
                <w:sz w:val="18"/>
                <w:szCs w:val="18"/>
              </w:rPr>
              <w:object>
                <v:shape id="_x0000_i1047" o:spt="75" type="#_x0000_t75" style="height:17.5pt;width:56pt;" o:ole="t" filled="f" o:preferrelative="t" stroked="f" coordsize="21600,21600">
                  <v:path/>
                  <v:fill on="f" focussize="0,0"/>
                  <v:stroke on="f" joinstyle="miter"/>
                  <v:imagedata r:id="rId60" o:title=""/>
                  <o:lock v:ext="edit" aspectratio="t"/>
                  <w10:wrap type="none"/>
                  <w10:anchorlock/>
                </v:shape>
                <o:OLEObject Type="Embed" ProgID="Equation.3" ShapeID="_x0000_i1047" DrawAspect="Content" ObjectID="_1468075747" r:id="rId59">
                  <o:LockedField>false</o:LockedField>
                </o:OLEObject>
              </w:object>
            </w:r>
          </w:p>
          <w:p>
            <w:pPr>
              <w:pStyle w:val="134"/>
              <w:rPr>
                <w:rFonts w:ascii="Arial" w:hAnsi="Arial" w:cs="Arial"/>
                <w:sz w:val="18"/>
                <w:szCs w:val="18"/>
              </w:rPr>
            </w:pPr>
            <w:r>
              <w:rPr>
                <w:rFonts w:ascii="Arial" w:hAnsi="Arial" w:cs="Arial"/>
                <w:position w:val="-6"/>
                <w:sz w:val="18"/>
                <w:szCs w:val="18"/>
              </w:rPr>
              <w:object>
                <v:shape id="_x0000_i1048" o:spt="75" type="#_x0000_t75" style="height:13.5pt;width:51.5pt;" o:ole="t" filled="f" o:preferrelative="t" stroked="f" coordsize="21600,21600">
                  <v:path/>
                  <v:fill on="f" focussize="0,0"/>
                  <v:stroke on="f" joinstyle="miter"/>
                  <v:imagedata r:id="rId62" o:title=""/>
                  <o:lock v:ext="edit" aspectratio="t"/>
                  <w10:wrap type="none"/>
                  <w10:anchorlock/>
                </v:shape>
                <o:OLEObject Type="Embed" ProgID="Equation.3" ShapeID="_x0000_i1048" DrawAspect="Content" ObjectID="_1468075748" r:id="rId61">
                  <o:LockedField>false</o:LockedField>
                </o:OLEObject>
              </w:object>
            </w:r>
          </w:p>
          <w:p>
            <w:pPr>
              <w:pStyle w:val="134"/>
              <w:rPr>
                <w:rFonts w:ascii="Arial" w:hAnsi="Arial" w:eastAsia="MS Mincho" w:cs="Arial"/>
                <w:sz w:val="18"/>
                <w:szCs w:val="18"/>
                <w:lang w:val="en-US"/>
              </w:rPr>
            </w:pPr>
            <w:r>
              <w:rPr>
                <w:rFonts w:ascii="Arial" w:hAnsi="Arial" w:cs="Arial"/>
                <w:position w:val="-6"/>
                <w:sz w:val="18"/>
                <w:szCs w:val="18"/>
              </w:rPr>
              <w:object>
                <v:shape id="_x0000_i1049" o:spt="75" type="#_x0000_t75" style="height:13.5pt;width:37.5pt;" o:ole="t" filled="f" o:preferrelative="t" stroked="f" coordsize="21600,21600">
                  <v:path/>
                  <v:fill on="f" focussize="0,0"/>
                  <v:stroke on="f" joinstyle="miter"/>
                  <v:imagedata r:id="rId64" o:title=""/>
                  <o:lock v:ext="edit" aspectratio="t"/>
                  <w10:wrap type="none"/>
                  <w10:anchorlock/>
                </v:shape>
                <o:OLEObject Type="Embed" ProgID="Equation.3" ShapeID="_x0000_i1049" DrawAspect="Content" ObjectID="_1468075749" r:id="rId63">
                  <o:LockedField>false</o:LockedField>
                </o:OLEObject>
              </w:object>
            </w:r>
          </w:p>
          <w:p>
            <w:pPr>
              <w:pStyle w:val="134"/>
              <w:rPr>
                <w:rFonts w:ascii="Arial" w:hAnsi="Arial" w:eastAsia="MS Mincho" w:cs="Arial"/>
                <w:sz w:val="18"/>
                <w:szCs w:val="18"/>
                <w:lang w:val="en-US" w:eastAsia="ja-JP"/>
              </w:rPr>
            </w:pPr>
            <w:r>
              <w:rPr>
                <w:rFonts w:ascii="Arial" w:hAnsi="Arial" w:eastAsia="MS Mincho" w:cs="Arial"/>
                <w:sz w:val="18"/>
                <w:szCs w:val="18"/>
                <w:lang w:val="en-US" w:eastAsia="ja-JP"/>
              </w:rPr>
              <w:t>h = avg. building height</w:t>
            </w:r>
          </w:p>
          <w:p>
            <w:pPr>
              <w:pStyle w:val="134"/>
              <w:rPr>
                <w:rFonts w:ascii="Arial" w:hAnsi="Arial" w:eastAsia="MS Mincho" w:cs="Arial"/>
                <w:sz w:val="18"/>
                <w:szCs w:val="18"/>
                <w:lang w:val="en-US" w:eastAsia="ja-JP"/>
              </w:rPr>
            </w:pPr>
            <w:r>
              <w:rPr>
                <w:rFonts w:ascii="Arial" w:hAnsi="Arial" w:eastAsia="MS Mincho" w:cs="Arial"/>
                <w:sz w:val="18"/>
                <w:szCs w:val="18"/>
                <w:lang w:val="en-US" w:eastAsia="ja-JP"/>
              </w:rPr>
              <w:t>W = avg. street width</w:t>
            </w:r>
          </w:p>
          <w:p>
            <w:pPr>
              <w:pStyle w:val="134"/>
              <w:rPr>
                <w:rFonts w:ascii="Arial" w:hAnsi="Arial" w:cs="Arial"/>
                <w:sz w:val="18"/>
                <w:szCs w:val="18"/>
              </w:rPr>
            </w:pPr>
            <w:r>
              <w:rPr>
                <w:rFonts w:ascii="Arial" w:hAnsi="Arial" w:cs="Arial"/>
                <w:sz w:val="18"/>
                <w:szCs w:val="18"/>
              </w:rPr>
              <w:t xml:space="preserve">The applicability ranges: </w:t>
            </w:r>
          </w:p>
          <w:p>
            <w:pPr>
              <w:pStyle w:val="134"/>
              <w:rPr>
                <w:rFonts w:ascii="Arial" w:hAnsi="Arial" w:cs="Arial"/>
                <w:sz w:val="18"/>
                <w:szCs w:val="18"/>
              </w:rPr>
            </w:pPr>
            <w:r>
              <w:rPr>
                <w:rFonts w:ascii="Arial" w:hAnsi="Arial" w:cs="Arial"/>
                <w:position w:val="-6"/>
                <w:sz w:val="18"/>
                <w:szCs w:val="18"/>
              </w:rPr>
              <w:object>
                <v:shape id="_x0000_i1050" o:spt="75" type="#_x0000_t75" style="height:13.5pt;width:71pt;" o:ole="t" filled="f" o:preferrelative="t" stroked="f" coordsize="21600,21600">
                  <v:path/>
                  <v:fill on="f" focussize="0,0"/>
                  <v:stroke on="f" joinstyle="miter"/>
                  <v:imagedata r:id="rId66" o:title=""/>
                  <o:lock v:ext="edit" aspectratio="t"/>
                  <w10:wrap type="none"/>
                  <w10:anchorlock/>
                </v:shape>
                <o:OLEObject Type="Embed" ProgID="Equation.3" ShapeID="_x0000_i1050" DrawAspect="Content" ObjectID="_1468075750" r:id="rId65">
                  <o:LockedField>false</o:LockedField>
                </o:OLEObject>
              </w:object>
            </w:r>
          </w:p>
          <w:p>
            <w:pPr>
              <w:pStyle w:val="134"/>
              <w:rPr>
                <w:rFonts w:ascii="Arial" w:hAnsi="Arial" w:cs="Arial"/>
                <w:sz w:val="18"/>
                <w:szCs w:val="18"/>
              </w:rPr>
            </w:pPr>
            <w:r>
              <w:rPr>
                <w:rFonts w:ascii="Arial" w:hAnsi="Arial" w:cs="Arial"/>
                <w:position w:val="-6"/>
                <w:sz w:val="18"/>
                <w:szCs w:val="18"/>
              </w:rPr>
              <w:object>
                <v:shape id="_x0000_i1051" o:spt="75" type="#_x0000_t75" style="height:13.5pt;width:75pt;" o:ole="t" filled="f" o:preferrelative="t" stroked="f" coordsize="21600,21600">
                  <v:path/>
                  <v:fill on="f" focussize="0,0"/>
                  <v:stroke on="f" joinstyle="miter"/>
                  <v:imagedata r:id="rId68" o:title=""/>
                  <o:lock v:ext="edit" aspectratio="t"/>
                  <w10:wrap type="none"/>
                  <w10:anchorlock/>
                </v:shape>
                <o:OLEObject Type="Embed" ProgID="Equation.3" ShapeID="_x0000_i1051" DrawAspect="Content" ObjectID="_1468075751" r:id="rId67">
                  <o:LockedField>false</o:LockedField>
                </o:OLEObject>
              </w:object>
            </w:r>
          </w:p>
          <w:p>
            <w:pPr>
              <w:pStyle w:val="134"/>
              <w:rPr>
                <w:rFonts w:ascii="Arial" w:hAnsi="Arial" w:cs="Arial"/>
                <w:sz w:val="18"/>
                <w:szCs w:val="18"/>
              </w:rPr>
            </w:pPr>
            <w:r>
              <w:rPr>
                <w:rFonts w:ascii="Arial" w:hAnsi="Arial" w:cs="Arial"/>
                <w:position w:val="-12"/>
                <w:sz w:val="18"/>
                <w:szCs w:val="18"/>
              </w:rPr>
              <w:object>
                <v:shape id="_x0000_i1052" o:spt="75" type="#_x0000_t75" style="height:17.5pt;width:88pt;" o:ole="t" filled="f" o:preferrelative="t" stroked="f" coordsize="21600,21600">
                  <v:path/>
                  <v:fill on="f" focussize="0,0"/>
                  <v:stroke on="f" joinstyle="miter"/>
                  <v:imagedata r:id="rId70" o:title=""/>
                  <o:lock v:ext="edit" aspectratio="t"/>
                  <w10:wrap type="none"/>
                  <w10:anchorlock/>
                </v:shape>
                <o:OLEObject Type="Embed" ProgID="Equation.3" ShapeID="_x0000_i1052" DrawAspect="Content" ObjectID="_1468075752" r:id="rId69">
                  <o:LockedField>false</o:LockedField>
                </o:OLEObject>
              </w:object>
            </w:r>
          </w:p>
          <w:p>
            <w:pPr>
              <w:pStyle w:val="134"/>
              <w:rPr>
                <w:rFonts w:ascii="Arial" w:hAnsi="Arial" w:eastAsia="MS Mincho" w:cs="Arial"/>
                <w:sz w:val="18"/>
                <w:szCs w:val="18"/>
                <w:lang w:val="en-US"/>
              </w:rPr>
            </w:pPr>
            <w:r>
              <w:rPr>
                <w:rFonts w:ascii="Arial" w:hAnsi="Arial" w:cs="Arial"/>
                <w:position w:val="-12"/>
                <w:sz w:val="18"/>
                <w:szCs w:val="18"/>
              </w:rPr>
              <w:object>
                <v:shape id="_x0000_i1053" o:spt="75" type="#_x0000_t75" style="height:17.5pt;width:78.5pt;" o:ole="t" filled="f" o:preferrelative="t" stroked="f" coordsize="21600,21600">
                  <v:path/>
                  <v:fill on="f" focussize="0,0"/>
                  <v:stroke on="f" joinstyle="miter"/>
                  <v:imagedata r:id="rId72" o:title=""/>
                  <o:lock v:ext="edit" aspectratio="t"/>
                  <w10:wrap type="none"/>
                  <w10:anchorlock/>
                </v:shape>
                <o:OLEObject Type="Embed" ProgID="Equation.3" ShapeID="_x0000_i1053" DrawAspect="Content" ObjectID="_1468075753" r:id="rId7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continue"/>
            <w:shd w:val="clear" w:color="auto" w:fill="F2F2F2"/>
            <w:textDirection w:val="btLr"/>
            <w:vAlign w:val="center"/>
          </w:tcPr>
          <w:p>
            <w:pPr>
              <w:pStyle w:val="67"/>
              <w:keepNext w:val="0"/>
              <w:keepLines w:val="0"/>
              <w:ind w:left="113" w:right="113"/>
              <w:rPr>
                <w:szCs w:val="18"/>
                <w:lang w:eastAsia="ko-KR"/>
              </w:rPr>
            </w:pPr>
          </w:p>
        </w:tc>
        <w:tc>
          <w:tcPr>
            <w:tcW w:w="0" w:type="auto"/>
            <w:shd w:val="clear" w:color="auto" w:fill="F2F2F2"/>
            <w:textDirection w:val="btLr"/>
            <w:vAlign w:val="center"/>
          </w:tcPr>
          <w:p>
            <w:pPr>
              <w:pStyle w:val="67"/>
              <w:keepNext w:val="0"/>
              <w:keepLines w:val="0"/>
              <w:ind w:left="113" w:right="113"/>
              <w:rPr>
                <w:szCs w:val="18"/>
                <w:lang w:eastAsia="ko-KR"/>
              </w:rPr>
            </w:pPr>
            <w:r>
              <w:rPr>
                <w:szCs w:val="18"/>
                <w:lang w:eastAsia="ko-KR"/>
              </w:rPr>
              <w:t>NLOS</w:t>
            </w:r>
          </w:p>
        </w:tc>
        <w:tc>
          <w:tcPr>
            <w:tcW w:w="0" w:type="auto"/>
          </w:tcPr>
          <w:p>
            <w:pPr>
              <w:pStyle w:val="134"/>
              <w:rPr>
                <w:rFonts w:ascii="Arial" w:hAnsi="Arial" w:cs="Arial"/>
                <w:sz w:val="18"/>
                <w:szCs w:val="18"/>
              </w:rPr>
            </w:pPr>
            <w:r>
              <w:rPr>
                <w:rFonts w:ascii="Arial" w:hAnsi="Arial" w:cs="Arial"/>
                <w:position w:val="-12"/>
                <w:sz w:val="18"/>
                <w:szCs w:val="18"/>
              </w:rPr>
              <w:object>
                <v:shape id="_x0000_i1054" o:spt="75" type="#_x0000_t75" style="height:17.5pt;width:199.5pt;" o:ole="t" filled="f" o:preferrelative="t" stroked="f" coordsize="21600,21600">
                  <v:path/>
                  <v:fill on="f" focussize="0,0"/>
                  <v:stroke on="f" joinstyle="miter"/>
                  <v:imagedata r:id="rId74" o:title=""/>
                  <o:lock v:ext="edit" aspectratio="t"/>
                  <w10:wrap type="none"/>
                  <w10:anchorlock/>
                </v:shape>
                <o:OLEObject Type="Embed" ProgID="Equation.3" ShapeID="_x0000_i1054" DrawAspect="Content" ObjectID="_1468075754" r:id="rId73">
                  <o:LockedField>false</o:LockedField>
                </o:OLEObject>
              </w:object>
            </w:r>
          </w:p>
          <w:p>
            <w:pPr>
              <w:pStyle w:val="134"/>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v:shape id="_x0000_i1055" o:spt="75" type="#_x0000_t75" style="height:16pt;width:85.5pt;" o:ole="t" filled="f" o:preferrelative="t" stroked="f" coordsize="21600,21600">
                  <v:path/>
                  <v:fill on="f" focussize="0,0"/>
                  <v:stroke on="f" joinstyle="miter"/>
                  <v:imagedata r:id="rId76" o:title=""/>
                  <o:lock v:ext="edit" aspectratio="t"/>
                  <w10:wrap type="none"/>
                  <w10:anchorlock/>
                </v:shape>
                <o:OLEObject Type="Embed" ProgID="Equation.3" ShapeID="_x0000_i1055" DrawAspect="Content" ObjectID="_1468075755" r:id="rId75">
                  <o:LockedField>false</o:LockedField>
                </o:OLEObject>
              </w:object>
            </w:r>
          </w:p>
          <w:p>
            <w:pPr>
              <w:pStyle w:val="134"/>
              <w:rPr>
                <w:rFonts w:ascii="Arial" w:hAnsi="Arial" w:cs="Arial"/>
                <w:sz w:val="18"/>
                <w:szCs w:val="18"/>
              </w:rPr>
            </w:pPr>
            <w:r>
              <w:rPr>
                <w:rFonts w:ascii="Arial" w:hAnsi="Arial" w:cs="Arial"/>
                <w:position w:val="-70"/>
                <w:sz w:val="18"/>
                <w:szCs w:val="18"/>
              </w:rPr>
              <w:object>
                <v:shape id="_x0000_i1056" o:spt="75" type="#_x0000_t75" style="height:76pt;width:241.5pt;" o:ole="t" filled="f" o:preferrelative="t" stroked="f" coordsize="21600,21600">
                  <v:path/>
                  <v:fill on="f" focussize="0,0"/>
                  <v:stroke on="f" joinstyle="miter"/>
                  <v:imagedata r:id="rId78" o:title=""/>
                  <o:lock v:ext="edit" aspectratio="t"/>
                  <w10:wrap type="none"/>
                  <w10:anchorlock/>
                </v:shape>
                <o:OLEObject Type="Embed" ProgID="Equation.3" ShapeID="_x0000_i1056" DrawAspect="Content" ObjectID="_1468075756" r:id="rId77">
                  <o:LockedField>false</o:LockedField>
                </o:OLEObject>
              </w:object>
            </w:r>
          </w:p>
        </w:tc>
        <w:tc>
          <w:tcPr>
            <w:tcW w:w="0" w:type="auto"/>
          </w:tcPr>
          <w:p>
            <w:pPr>
              <w:pStyle w:val="134"/>
              <w:jc w:val="center"/>
              <w:rPr>
                <w:rFonts w:ascii="Arial" w:hAnsi="Arial" w:cs="Arial"/>
                <w:sz w:val="18"/>
                <w:szCs w:val="18"/>
              </w:rPr>
            </w:pPr>
          </w:p>
          <w:p>
            <w:pPr>
              <w:pStyle w:val="134"/>
              <w:jc w:val="center"/>
              <w:rPr>
                <w:rFonts w:ascii="Arial" w:hAnsi="Arial" w:cs="Arial"/>
                <w:sz w:val="18"/>
                <w:szCs w:val="18"/>
              </w:rPr>
            </w:pPr>
          </w:p>
          <w:p>
            <w:pPr>
              <w:pStyle w:val="134"/>
              <w:jc w:val="center"/>
              <w:rPr>
                <w:rFonts w:ascii="Arial" w:hAnsi="Arial" w:eastAsia="MS Mincho" w:cs="Arial"/>
                <w:sz w:val="18"/>
                <w:szCs w:val="18"/>
              </w:rPr>
            </w:pPr>
            <w:r>
              <w:rPr>
                <w:rFonts w:ascii="Arial" w:hAnsi="Arial" w:cs="Arial"/>
                <w:position w:val="-12"/>
                <w:sz w:val="18"/>
                <w:szCs w:val="18"/>
              </w:rPr>
              <w:object>
                <v:shape id="_x0000_i1057" o:spt="75" type="#_x0000_t75" style="height:17.5pt;width:37.5pt;" o:ole="t" filled="f" o:preferrelative="t" stroked="f" coordsize="21600,21600">
                  <v:path/>
                  <v:fill on="f" focussize="0,0"/>
                  <v:stroke on="f" joinstyle="miter"/>
                  <v:imagedata r:id="rId80" o:title=""/>
                  <o:lock v:ext="edit" aspectratio="t"/>
                  <w10:wrap type="none"/>
                  <w10:anchorlock/>
                </v:shape>
                <o:OLEObject Type="Embed" ProgID="Equation.3" ShapeID="_x0000_i1057" DrawAspect="Content" ObjectID="_1468075757" r:id="rId79">
                  <o:LockedField>false</o:LockedField>
                </o:OLEObject>
              </w:object>
            </w:r>
          </w:p>
        </w:tc>
        <w:tc>
          <w:tcPr>
            <w:tcW w:w="0" w:type="auto"/>
            <w:vMerge w:val="continue"/>
          </w:tcPr>
          <w:p>
            <w:pPr>
              <w:pStyle w:val="134"/>
              <w:rPr>
                <w:rFonts w:ascii="Arial" w:hAnsi="Arial" w:eastAsia="MS Mincho" w:cs="Arial"/>
                <w:sz w:val="18"/>
                <w:szCs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gridSpan w:val="5"/>
            <w:vAlign w:val="center"/>
          </w:tcPr>
          <w:p>
            <w:pPr>
              <w:pStyle w:val="81"/>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pPr>
              <w:pStyle w:val="81"/>
              <w:keepNext w:val="0"/>
              <w:keepLines w:val="0"/>
              <w:rPr>
                <w:rFonts w:cs="Arial"/>
                <w:szCs w:val="18"/>
                <w:lang w:val="en-US"/>
              </w:rPr>
            </w:pPr>
            <w:r>
              <w:rPr>
                <w:rFonts w:cs="Arial"/>
                <w:szCs w:val="18"/>
                <w:lang w:val="en-US" w:eastAsia="ko-KR"/>
              </w:rPr>
              <w:tab/>
            </w:r>
            <w:r>
              <w:rPr>
                <w:rFonts w:cs="Arial"/>
                <w:position w:val="-48"/>
                <w:szCs w:val="18"/>
                <w:lang w:val="en-US"/>
              </w:rPr>
              <w:object>
                <v:shape id="_x0000_i1058" o:spt="75" type="#_x0000_t75" style="height:51.5pt;width:274pt;" o:ole="t" filled="f" o:preferrelative="t" stroked="f" coordsize="21600,21600">
                  <v:path/>
                  <v:fill on="f" focussize="0,0"/>
                  <v:stroke on="f" joinstyle="miter"/>
                  <v:imagedata r:id="rId82" o:title=""/>
                  <o:lock v:ext="edit" aspectratio="t"/>
                  <w10:wrap type="none"/>
                  <w10:anchorlock/>
                </v:shape>
                <o:OLEObject Type="Embed" ProgID="Equation.3" ShapeID="_x0000_i1058" DrawAspect="Content" ObjectID="_1468075758" r:id="rId81">
                  <o:LockedField>false</o:LockedField>
                </o:OLEObject>
              </w:object>
            </w:r>
            <w:r>
              <w:rPr>
                <w:rFonts w:cs="Arial"/>
                <w:szCs w:val="18"/>
                <w:lang w:val="en-US"/>
              </w:rPr>
              <w:t>,</w:t>
            </w:r>
          </w:p>
          <w:p>
            <w:pPr>
              <w:pStyle w:val="81"/>
              <w:keepNext w:val="0"/>
              <w:keepLines w:val="0"/>
              <w:rPr>
                <w:rFonts w:cs="Arial"/>
                <w:szCs w:val="18"/>
                <w:lang w:val="en-US"/>
              </w:rPr>
            </w:pPr>
            <w:r>
              <w:rPr>
                <w:rFonts w:cs="Arial"/>
                <w:szCs w:val="18"/>
                <w:lang w:val="en-US"/>
              </w:rPr>
              <w:tab/>
            </w:r>
            <w:r>
              <w:rPr>
                <w:rFonts w:cs="Arial"/>
                <w:szCs w:val="18"/>
                <w:lang w:val="en-US"/>
              </w:rPr>
              <w:t>where</w:t>
            </w:r>
          </w:p>
          <w:p>
            <w:pPr>
              <w:pStyle w:val="81"/>
              <w:keepNext w:val="0"/>
              <w:keepLines w:val="0"/>
              <w:rPr>
                <w:rFonts w:cs="Arial"/>
                <w:szCs w:val="18"/>
                <w:lang w:val="en-US"/>
              </w:rPr>
            </w:pPr>
            <w:r>
              <w:rPr>
                <w:rFonts w:cs="Arial"/>
                <w:szCs w:val="18"/>
                <w:lang w:val="en-US"/>
              </w:rPr>
              <w:tab/>
            </w:r>
            <w:r>
              <w:rPr>
                <w:rFonts w:cs="Arial"/>
                <w:position w:val="-46"/>
                <w:szCs w:val="18"/>
                <w:lang w:val="en-US"/>
              </w:rPr>
              <w:object>
                <v:shape id="_x0000_i1059" o:spt="75" type="#_x0000_t75" style="height:51.5pt;width:226.5pt;" o:ole="t" filled="f" o:preferrelative="t" stroked="f" coordsize="21600,21600">
                  <v:path/>
                  <v:fill on="f" focussize="0,0"/>
                  <v:stroke on="f" joinstyle="miter"/>
                  <v:imagedata r:id="rId84" o:title=""/>
                  <o:lock v:ext="edit" aspectratio="t"/>
                  <w10:wrap type="none"/>
                  <w10:anchorlock/>
                </v:shape>
                <o:OLEObject Type="Embed" ProgID="Equation.3" ShapeID="_x0000_i1059" DrawAspect="Content" ObjectID="_1468075759" r:id="rId83">
                  <o:LockedField>false</o:LockedField>
                </o:OLEObject>
              </w:object>
            </w:r>
            <w:r>
              <w:rPr>
                <w:rFonts w:cs="Arial"/>
                <w:szCs w:val="18"/>
                <w:lang w:val="en-US"/>
              </w:rPr>
              <w:t xml:space="preserve">. </w:t>
            </w:r>
          </w:p>
          <w:p>
            <w:pPr>
              <w:pStyle w:val="81"/>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pPr>
              <w:pStyle w:val="81"/>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pPr>
              <w:pStyle w:val="81"/>
              <w:keepNext w:val="0"/>
              <w:keepLines w:val="0"/>
              <w:rPr>
                <w:rFonts w:cs="Arial"/>
                <w:szCs w:val="18"/>
                <w:lang w:eastAsia="zh-CN"/>
              </w:rPr>
            </w:pPr>
            <w:r>
              <w:rPr>
                <w:rFonts w:cs="Arial"/>
                <w:szCs w:val="18"/>
              </w:rPr>
              <w:t>Note 3:</w:t>
            </w:r>
            <w:r>
              <w:rPr>
                <w:rFonts w:cs="Arial"/>
                <w:szCs w:val="18"/>
              </w:rPr>
              <w:tab/>
            </w:r>
            <w:r>
              <w:rPr>
                <w:rFonts w:cs="Arial"/>
                <w:szCs w:val="18"/>
              </w:rPr>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pPr>
              <w:pStyle w:val="81"/>
              <w:keepNext w:val="0"/>
              <w:keepLines w:val="0"/>
              <w:rPr>
                <w:rFonts w:cs="Arial"/>
                <w:szCs w:val="18"/>
                <w:lang w:eastAsia="zh-CN"/>
              </w:rPr>
            </w:pPr>
            <w:r>
              <w:rPr>
                <w:rFonts w:cs="Arial"/>
                <w:szCs w:val="18"/>
              </w:rPr>
              <w:t>Note 4:</w:t>
            </w:r>
            <w:r>
              <w:rPr>
                <w:rFonts w:cs="Arial"/>
                <w:szCs w:val="18"/>
              </w:rPr>
              <w:tab/>
            </w:r>
            <w:r>
              <w:rPr>
                <w:rFonts w:cs="Arial"/>
                <w:szCs w:val="18"/>
              </w:rPr>
              <w:t>PL</w:t>
            </w:r>
            <w:r>
              <w:rPr>
                <w:rFonts w:cs="Arial"/>
                <w:szCs w:val="18"/>
                <w:vertAlign w:val="subscript"/>
              </w:rPr>
              <w:t>UMi-LOS</w:t>
            </w:r>
            <w:r>
              <w:rPr>
                <w:rFonts w:cs="Arial"/>
                <w:szCs w:val="18"/>
                <w:lang w:eastAsia="zh-CN"/>
              </w:rPr>
              <w:t xml:space="preserve"> = Pathloss of UMi-Street Canyon LOS outdoor scenario.</w:t>
            </w:r>
          </w:p>
          <w:p>
            <w:pPr>
              <w:pStyle w:val="81"/>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pPr>
              <w:pStyle w:val="81"/>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p>
      <w:pPr>
        <w:rPr>
          <w:b/>
        </w:rPr>
      </w:pPr>
      <w:r>
        <w:rPr>
          <w:rFonts w:hint="eastAsia"/>
          <w:b/>
        </w:rPr>
        <w:t>LOS probability</w:t>
      </w:r>
    </w:p>
    <w:p>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pPr>
        <w:pStyle w:val="76"/>
        <w:keepNext w:val="0"/>
        <w:keepLines w:val="0"/>
        <w:rPr>
          <w:lang w:eastAsia="ko-KR"/>
        </w:rPr>
      </w:pPr>
      <w:r>
        <w:rPr>
          <w:lang w:eastAsia="ko-KR"/>
        </w:rPr>
        <w:t>Table 6.2.5.2-2</w:t>
      </w:r>
      <w:r>
        <w:rPr>
          <w:rFonts w:hint="eastAsia"/>
          <w:lang w:eastAsia="ko-KR"/>
        </w:rPr>
        <w:t xml:space="preserve"> LOS probability</w:t>
      </w:r>
    </w:p>
    <w:tbl>
      <w:tblPr>
        <w:tblStyle w:val="49"/>
        <w:tblW w:w="0" w:type="auto"/>
        <w:tblInd w:w="3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7"/>
        <w:gridCol w:w="7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shd w:val="clear" w:color="auto" w:fill="D9D9D9"/>
          </w:tcPr>
          <w:p>
            <w:pPr>
              <w:pStyle w:val="67"/>
              <w:keepNext w:val="0"/>
              <w:keepLines w:val="0"/>
            </w:pPr>
            <w:r>
              <w:t>Scenario</w:t>
            </w:r>
          </w:p>
        </w:tc>
        <w:tc>
          <w:tcPr>
            <w:tcW w:w="7621" w:type="dxa"/>
            <w:shd w:val="clear" w:color="auto" w:fill="D9D9D9"/>
          </w:tcPr>
          <w:p>
            <w:pPr>
              <w:pStyle w:val="67"/>
              <w:keepNext w:val="0"/>
              <w:keepLines w:val="0"/>
            </w:pPr>
            <w:r>
              <w:t>LOS probability (distance is in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tcPr>
          <w:p>
            <w:pPr>
              <w:pStyle w:val="66"/>
              <w:keepNext w:val="0"/>
              <w:keepLines w:val="0"/>
            </w:pPr>
            <w:r>
              <w:t>RMa</w:t>
            </w:r>
          </w:p>
        </w:tc>
        <w:tc>
          <w:tcPr>
            <w:tcW w:w="7621" w:type="dxa"/>
          </w:tcPr>
          <w:p>
            <w:pPr>
              <w:pStyle w:val="134"/>
              <w:rPr>
                <w:rFonts w:eastAsia="MS Mincho"/>
                <w:sz w:val="20"/>
              </w:rPr>
            </w:pPr>
            <w:r>
              <w:rPr>
                <w:position w:val="-46"/>
                <w:lang w:val="en-US"/>
              </w:rPr>
              <w:object>
                <v:shape id="_x0000_i1060" o:spt="75" type="#_x0000_t75" style="height:49pt;width:193pt;" o:ole="t" filled="f" o:preferrelative="t" stroked="f" coordsize="21600,21600">
                  <v:path/>
                  <v:fill on="f" focussize="0,0"/>
                  <v:stroke on="f" joinstyle="miter"/>
                  <v:imagedata r:id="rId86" o:title=""/>
                  <o:lock v:ext="edit" aspectratio="t"/>
                  <w10:wrap type="none"/>
                  <w10:anchorlock/>
                </v:shape>
                <o:OLEObject Type="Embed" ProgID="Equation.3" ShapeID="_x0000_i1060" DrawAspect="Content" ObjectID="_1468075760" r:id="rId8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8" w:type="dxa"/>
            <w:gridSpan w:val="2"/>
          </w:tcPr>
          <w:p>
            <w:pPr>
              <w:pStyle w:val="81"/>
              <w:keepNext w:val="0"/>
              <w:keepLines w:val="0"/>
              <w:rPr>
                <w:lang w:val="en-US" w:eastAsia="ko-KR"/>
              </w:rPr>
            </w:pPr>
          </w:p>
        </w:tc>
      </w:tr>
    </w:tbl>
    <w:p>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pPr>
        <w:pStyle w:val="58"/>
        <w:tabs>
          <w:tab w:val="center" w:pos="4820"/>
          <w:tab w:val="clear" w:pos="4536"/>
        </w:tabs>
        <w:rPr>
          <w:lang w:eastAsia="ko-KR"/>
        </w:rPr>
      </w:pPr>
      <w:r>
        <w:rPr>
          <w:lang w:eastAsia="ko-KR"/>
        </w:rPr>
        <w:tab/>
      </w:r>
      <w:r>
        <w:rPr>
          <w:position w:val="-12"/>
        </w:rPr>
        <w:object>
          <v:shape id="_x0000_i1061" o:spt="75" type="#_x0000_t75" style="height:19.5pt;width:170pt;" o:ole="t" filled="f" o:preferrelative="t" stroked="f" coordsize="21600,21600">
            <v:path/>
            <v:fill on="f" focussize="0,0"/>
            <v:stroke on="f" joinstyle="miter"/>
            <v:imagedata r:id="rId88" o:title=""/>
            <o:lock v:ext="edit" aspectratio="t"/>
            <w10:wrap type="none"/>
            <w10:anchorlock/>
          </v:shape>
          <o:OLEObject Type="Embed" ProgID="Equation.3" ShapeID="_x0000_i1061" DrawAspect="Content" ObjectID="_1468075761" r:id="rId87">
            <o:LockedField>false</o:LockedField>
          </o:OLEObject>
        </w:object>
      </w:r>
      <w:r>
        <w:rPr>
          <w:lang w:eastAsia="ko-KR"/>
        </w:rPr>
        <w:tab/>
      </w:r>
      <w:r>
        <w:rPr>
          <w:lang w:eastAsia="ko-KR"/>
        </w:rPr>
        <w:t>(6.2.5.2-2)</w:t>
      </w:r>
    </w:p>
    <w:p>
      <w:pPr>
        <w:rPr>
          <w:lang w:eastAsia="ko-KR"/>
        </w:rPr>
      </w:pPr>
      <w:r>
        <w:rPr>
          <w:lang w:eastAsia="ja-JP"/>
        </w:rPr>
        <w:t xml:space="preserve">where </w:t>
      </w:r>
      <w:r>
        <w:rPr>
          <w:position w:val="-12"/>
        </w:rPr>
        <w:object>
          <v:shape id="_x0000_i1062" o:spt="75" type="#_x0000_t75" style="height:17.5pt;width:21.5pt;" o:ole="t" filled="f" o:preferrelative="t" stroked="f" coordsize="21600,21600">
            <v:path/>
            <v:fill on="f" focussize="0,0"/>
            <v:stroke on="f" joinstyle="miter"/>
            <v:imagedata r:id="rId90" o:title=""/>
            <o:lock v:ext="edit" aspectratio="t"/>
            <w10:wrap type="none"/>
            <w10:anchorlock/>
          </v:shape>
          <o:OLEObject Type="Embed" ProgID="Equation.3" ShapeID="_x0000_i1062" DrawAspect="Content" ObjectID="_1468075762" r:id="rId89">
            <o:LockedField>false</o:LockedField>
          </o:OLEObject>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v:shape id="_x0000_i1063" o:spt="75" type="#_x0000_t75" style="height:17.5pt;width:19.5pt;" o:ole="t" filled="f" o:preferrelative="t" stroked="f" coordsize="21600,21600">
            <v:path/>
            <v:fill on="f" focussize="0,0"/>
            <v:stroke on="f" joinstyle="miter"/>
            <v:imagedata r:id="rId92" o:title=""/>
            <o:lock v:ext="edit" aspectratio="t"/>
            <w10:wrap type="none"/>
            <w10:anchorlock/>
          </v:shape>
          <o:OLEObject Type="Embed" ProgID="Equation.3" ShapeID="_x0000_i1063" DrawAspect="Content" ObjectID="_1468075763" r:id="rId91">
            <o:LockedField>false</o:LockedField>
          </o:OLEObject>
        </w:object>
      </w:r>
      <w:r>
        <w:rPr>
          <w:lang w:eastAsia="zh-CN"/>
        </w:rPr>
        <w:t xml:space="preserve"> is replaced by </w:t>
      </w:r>
      <w:r>
        <w:rPr>
          <w:position w:val="-12"/>
        </w:rPr>
        <w:object>
          <v:shape id="_x0000_i1064" o:spt="75" type="#_x0000_t75" style="height:17.5pt;width:71pt;" o:ole="t" filled="f" o:preferrelative="t" stroked="f" coordsize="21600,21600">
            <v:path/>
            <v:fill on="f" focussize="0,0"/>
            <v:stroke on="f" joinstyle="miter"/>
            <v:imagedata r:id="rId94" o:title=""/>
            <o:lock v:ext="edit" aspectratio="t"/>
            <w10:wrap type="none"/>
            <w10:anchorlock/>
          </v:shape>
          <o:OLEObject Type="Embed" ProgID="Equation.3" ShapeID="_x0000_i1064" DrawAspect="Content" ObjectID="_1468075764" r:id="rId93">
            <o:LockedField>false</o:LockedField>
          </o:OLEObject>
        </w:object>
      </w:r>
      <w:r>
        <w:rPr>
          <w:rFonts w:hint="eastAsia"/>
          <w:lang w:eastAsia="zh-CN"/>
        </w:rPr>
        <w:t xml:space="preserve"> </w:t>
      </w:r>
      <w:r>
        <w:rPr>
          <w:rFonts w:hint="eastAsia"/>
          <w:lang w:eastAsia="ko-KR"/>
        </w:rPr>
        <w:t>.</w:t>
      </w:r>
      <w:r>
        <w:rPr>
          <w:lang w:eastAsia="ja-JP"/>
        </w:rPr>
        <w:t xml:space="preserve"> </w:t>
      </w:r>
      <w:r>
        <w:rPr>
          <w:position w:val="-12"/>
        </w:rPr>
        <w:object>
          <v:shape id="_x0000_i1065" o:spt="75" type="#_x0000_t75" style="height:17.5pt;width:23.5pt;" o:ole="t" filled="f" o:preferrelative="t" stroked="f" coordsize="21600,21600">
            <v:path/>
            <v:fill on="f" focussize="0,0"/>
            <v:stroke on="f" joinstyle="miter"/>
            <v:imagedata r:id="rId96" o:title=""/>
            <o:lock v:ext="edit" aspectratio="t"/>
            <w10:wrap type="none"/>
            <w10:anchorlock/>
          </v:shape>
          <o:OLEObject Type="Embed" ProgID="Equation.3" ShapeID="_x0000_i1065" DrawAspect="Content" ObjectID="_1468075765" r:id="rId95">
            <o:LockedField>false</o:LockedField>
          </o:OLEObject>
        </w:object>
      </w:r>
      <w:r>
        <w:rPr>
          <w:lang w:eastAsia="ja-JP"/>
        </w:rPr>
        <w:t xml:space="preserve"> is the building penetration loss through the external wall, </w:t>
      </w:r>
      <w:r>
        <w:rPr>
          <w:position w:val="-10"/>
        </w:rPr>
        <w:object>
          <v:shape id="_x0000_i1066" o:spt="75" type="#_x0000_t75" style="height:16pt;width:23.5pt;" o:ole="t" filled="f" o:preferrelative="t" stroked="f" coordsize="21600,21600">
            <v:path/>
            <v:fill on="f" focussize="0,0"/>
            <v:stroke on="f" joinstyle="miter"/>
            <v:imagedata r:id="rId98" o:title=""/>
            <o:lock v:ext="edit" aspectratio="t"/>
            <w10:wrap type="none"/>
            <w10:anchorlock/>
          </v:shape>
          <o:OLEObject Type="Embed" ProgID="Equation.3" ShapeID="_x0000_i1066" DrawAspect="Content" ObjectID="_1468075766" r:id="rId97">
            <o:LockedField>false</o:LockedField>
          </o:OLEObject>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pPr>
        <w:rPr>
          <w:lang w:eastAsia="ko-KR"/>
        </w:rPr>
      </w:pPr>
      <w:r>
        <w:rPr>
          <w:position w:val="-12"/>
        </w:rPr>
        <w:object>
          <v:shape id="_x0000_i1067" o:spt="75" type="#_x0000_t75" style="height:17.5pt;width:23.5pt;" o:ole="t" filled="f" o:preferrelative="t" stroked="f" coordsize="21600,21600">
            <v:path/>
            <v:fill on="f" focussize="0,0"/>
            <v:stroke on="f" joinstyle="miter"/>
            <v:imagedata r:id="rId100" o:title=""/>
            <o:lock v:ext="edit" aspectratio="t"/>
            <w10:wrap type="none"/>
            <w10:anchorlock/>
          </v:shape>
          <o:OLEObject Type="Embed" ProgID="Equation.3" ShapeID="_x0000_i1067" DrawAspect="Content" ObjectID="_1468075767" r:id="rId99">
            <o:LockedField>false</o:LockedField>
          </o:OLEObject>
        </w:object>
      </w:r>
      <w:r>
        <w:rPr>
          <w:rFonts w:hint="eastAsia"/>
          <w:lang w:eastAsia="ko-KR"/>
        </w:rPr>
        <w:t xml:space="preserve"> is characterized as:</w:t>
      </w:r>
    </w:p>
    <w:p>
      <w:pPr>
        <w:pStyle w:val="58"/>
        <w:tabs>
          <w:tab w:val="center" w:pos="4820"/>
          <w:tab w:val="clear" w:pos="4536"/>
        </w:tabs>
        <w:rPr>
          <w:lang w:eastAsia="ko-KR"/>
        </w:rPr>
      </w:pPr>
      <w:r>
        <w:rPr>
          <w:lang w:eastAsia="ko-KR"/>
        </w:rPr>
        <w:tab/>
      </w:r>
      <w:r>
        <w:object>
          <v:shape id="_x0000_i1068" o:spt="75" type="#_x0000_t75" style="height:42pt;width:199.5pt;" o:ole="t" filled="f" o:preferrelative="t" stroked="f" coordsize="21600,21600">
            <v:path/>
            <v:fill on="f" focussize="0,0"/>
            <v:stroke on="f" joinstyle="miter"/>
            <v:imagedata r:id="rId102" o:title=""/>
            <o:lock v:ext="edit" aspectratio="t"/>
            <w10:wrap type="none"/>
            <w10:anchorlock/>
          </v:shape>
          <o:OLEObject Type="Embed" ProgID="Equation.3" ShapeID="_x0000_i1068" DrawAspect="Content" ObjectID="_1468075768" r:id="rId101">
            <o:LockedField>false</o:LockedField>
          </o:OLEObject>
        </w:object>
      </w:r>
      <w:r>
        <w:rPr>
          <w:lang w:eastAsia="ko-KR"/>
        </w:rPr>
        <w:tab/>
      </w:r>
      <w:r>
        <w:rPr>
          <w:lang w:eastAsia="ko-KR"/>
        </w:rPr>
        <w:t>(6.2.5.2-3)</w:t>
      </w:r>
    </w:p>
    <w:p>
      <w:pPr>
        <w:rPr>
          <w:lang w:eastAsia="ko-KR"/>
        </w:rPr>
      </w:pPr>
      <w:r>
        <w:rPr>
          <w:position w:val="-14"/>
        </w:rPr>
        <w:object>
          <v:shape id="_x0000_i1069" o:spt="75" type="#_x0000_t75" style="height:17.5pt;width:28.5pt;" o:ole="t" filled="f" o:preferrelative="t" stroked="f" coordsize="21600,21600">
            <v:path/>
            <v:fill on="f" focussize="0,0"/>
            <v:stroke on="f" joinstyle="miter"/>
            <v:imagedata r:id="rId104" o:title=""/>
            <o:lock v:ext="edit" aspectratio="t"/>
            <w10:wrap type="none"/>
            <w10:anchorlock/>
          </v:shape>
          <o:OLEObject Type="Embed" ProgID="Equation.3" ShapeID="_x0000_i1069" DrawAspect="Content" ObjectID="_1468075769" r:id="rId103">
            <o:LockedField>false</o:LockedField>
          </o:OLEObject>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v:shape id="_x0000_i1070" o:spt="75" type="#_x0000_t75" style="height:17.5pt;width:160pt;" o:ole="t" filled="f" o:preferrelative="t" stroked="f" coordsize="21600,21600">
            <v:path/>
            <v:fill on="f" focussize="0,0"/>
            <v:stroke on="f" joinstyle="miter"/>
            <v:imagedata r:id="rId106" o:title=""/>
            <o:lock v:ext="edit" aspectratio="t"/>
            <w10:wrap type="none"/>
            <w10:anchorlock/>
          </v:shape>
          <o:OLEObject Type="Embed" ProgID="Equation.3" ShapeID="_x0000_i1070" DrawAspect="Content" ObjectID="_1468075770" r:id="rId105">
            <o:LockedField>false</o:LockedField>
          </o:OLEObject>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v:shape id="_x0000_i1071" o:spt="75" type="#_x0000_t75" style="height:17.5pt;width:13.5pt;" o:ole="t" filled="f" o:preferrelative="t" stroked="f" coordsize="21600,21600">
            <v:path/>
            <v:fill on="f" focussize="0,0"/>
            <v:stroke on="f" joinstyle="miter"/>
            <v:imagedata r:id="rId108" o:title=""/>
            <o:lock v:ext="edit" aspectratio="t"/>
            <w10:wrap type="none"/>
            <w10:anchorlock/>
          </v:shape>
          <o:OLEObject Type="Embed" ProgID="Equation.3" ShapeID="_x0000_i1071" DrawAspect="Content" ObjectID="_1468075771" r:id="rId107">
            <o:LockedField>false</o:LockedField>
          </o:OLEObject>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v:shape id="_x0000_i1072" o:spt="75" type="#_x0000_t75" style="height:34pt;width:45pt;" o:ole="t" filled="f" o:preferrelative="t" stroked="f" coordsize="21600,21600">
            <v:path/>
            <v:fill on="f" focussize="0,0"/>
            <v:stroke on="f" joinstyle="miter"/>
            <v:imagedata r:id="rId110" o:title=""/>
            <o:lock v:ext="edit" aspectratio="t"/>
            <w10:wrap type="none"/>
            <w10:anchorlock/>
          </v:shape>
          <o:OLEObject Type="Embed" ProgID="Equation.3" ShapeID="_x0000_i1072" DrawAspect="Content" ObjectID="_1468075772" r:id="rId109">
            <o:LockedField>false</o:LockedField>
          </o:OLEObject>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pPr>
        <w:pStyle w:val="76"/>
        <w:rPr>
          <w:lang w:eastAsia="ja-JP"/>
        </w:rPr>
      </w:pPr>
      <w:bookmarkStart w:id="310" w:name="_Ref445048671"/>
      <w:bookmarkStart w:id="311" w:name="_Ref445048576"/>
      <w:r>
        <w:rPr>
          <w:lang w:eastAsia="ja-JP"/>
        </w:rPr>
        <w:t xml:space="preserve">Table </w:t>
      </w:r>
      <w:bookmarkEnd w:id="310"/>
      <w:r>
        <w:rPr>
          <w:lang w:eastAsia="ko-KR"/>
        </w:rPr>
        <w:t>6.2.5.2-3</w:t>
      </w:r>
      <w:r>
        <w:rPr>
          <w:lang w:eastAsia="ja-JP"/>
        </w:rPr>
        <w:t>: Material penetration losses</w:t>
      </w:r>
      <w:bookmarkEnd w:id="311"/>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8"/>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D9D9D9"/>
            <w:vAlign w:val="center"/>
          </w:tcPr>
          <w:p>
            <w:pPr>
              <w:pStyle w:val="67"/>
              <w:rPr>
                <w:lang w:eastAsia="ja-JP"/>
              </w:rPr>
            </w:pPr>
            <w:r>
              <w:rPr>
                <w:lang w:eastAsia="ja-JP"/>
              </w:rPr>
              <w:t>Material</w:t>
            </w:r>
          </w:p>
        </w:tc>
        <w:tc>
          <w:tcPr>
            <w:tcW w:w="2237" w:type="dxa"/>
            <w:shd w:val="clear" w:color="auto" w:fill="D9D9D9"/>
            <w:vAlign w:val="center"/>
          </w:tcPr>
          <w:p>
            <w:pPr>
              <w:pStyle w:val="67"/>
              <w:rPr>
                <w:lang w:eastAsia="ja-JP"/>
              </w:rPr>
            </w:pPr>
            <w:r>
              <w:rPr>
                <w:lang w:eastAsia="ja-JP"/>
              </w:rPr>
              <w:t>Penetration loss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Standard multi-pane glass</w:t>
            </w:r>
          </w:p>
        </w:tc>
        <w:tc>
          <w:tcPr>
            <w:tcW w:w="2237" w:type="dxa"/>
            <w:shd w:val="clear" w:color="auto" w:fill="auto"/>
            <w:vAlign w:val="center"/>
          </w:tcPr>
          <w:p>
            <w:pPr>
              <w:pStyle w:val="66"/>
              <w:rPr>
                <w:rFonts w:cs="Arial"/>
                <w:lang w:eastAsia="ko-KR"/>
              </w:rPr>
            </w:pPr>
            <w:r>
              <w:rPr>
                <w:position w:val="-14"/>
              </w:rPr>
              <w:object>
                <v:shape id="_x0000_i1073" o:spt="75" type="#_x0000_t75" style="height:19.5pt;width:78.5pt;" o:ole="t" filled="f" o:preferrelative="t" stroked="f" coordsize="21600,21600">
                  <v:path/>
                  <v:fill on="f" focussize="0,0"/>
                  <v:stroke on="f" joinstyle="miter"/>
                  <v:imagedata r:id="rId112" o:title=""/>
                  <o:lock v:ext="edit" aspectratio="t"/>
                  <w10:wrap type="none"/>
                  <w10:anchorlock/>
                </v:shape>
                <o:OLEObject Type="Embed" ProgID="Equation.3" ShapeID="_x0000_i1073" DrawAspect="Content" ObjectID="_1468075773" r:id="rId11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IRR glass</w:t>
            </w:r>
          </w:p>
        </w:tc>
        <w:tc>
          <w:tcPr>
            <w:tcW w:w="2237" w:type="dxa"/>
            <w:shd w:val="clear" w:color="auto" w:fill="auto"/>
            <w:vAlign w:val="center"/>
          </w:tcPr>
          <w:p>
            <w:pPr>
              <w:pStyle w:val="66"/>
              <w:rPr>
                <w:rFonts w:cs="Arial"/>
                <w:lang w:eastAsia="ja-JP"/>
              </w:rPr>
            </w:pPr>
            <w:r>
              <w:rPr>
                <w:position w:val="-14"/>
              </w:rPr>
              <w:object>
                <v:shape id="_x0000_i1074" o:spt="75" type="#_x0000_t75" style="height:19.5pt;width:93.5pt;" o:ole="t" filled="f" o:preferrelative="t" stroked="f" coordsize="21600,21600">
                  <v:path/>
                  <v:fill on="f" focussize="0,0"/>
                  <v:stroke on="f" joinstyle="miter"/>
                  <v:imagedata r:id="rId114" o:title=""/>
                  <o:lock v:ext="edit" aspectratio="t"/>
                  <w10:wrap type="none"/>
                  <w10:anchorlock/>
                </v:shape>
                <o:OLEObject Type="Embed" ProgID="Equation.3" ShapeID="_x0000_i1074" DrawAspect="Content" ObjectID="_1468075774" r:id="rId11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ja-JP"/>
              </w:rPr>
            </w:pPr>
            <w:r>
              <w:rPr>
                <w:lang w:eastAsia="ja-JP"/>
              </w:rPr>
              <w:t>Concrete</w:t>
            </w:r>
          </w:p>
        </w:tc>
        <w:tc>
          <w:tcPr>
            <w:tcW w:w="2237" w:type="dxa"/>
            <w:shd w:val="clear" w:color="auto" w:fill="auto"/>
            <w:vAlign w:val="center"/>
          </w:tcPr>
          <w:p>
            <w:pPr>
              <w:pStyle w:val="66"/>
              <w:rPr>
                <w:rFonts w:cs="Arial"/>
                <w:lang w:eastAsia="ko-KR"/>
              </w:rPr>
            </w:pPr>
            <w:r>
              <w:rPr>
                <w:position w:val="-12"/>
              </w:rPr>
              <w:object>
                <v:shape id="_x0000_i1075" o:spt="75" type="#_x0000_t75" style="height:17.5pt;width:78.5pt;" o:ole="t" filled="f" o:preferrelative="t" stroked="f" coordsize="21600,21600">
                  <v:path/>
                  <v:fill on="f" focussize="0,0"/>
                  <v:stroke on="f" joinstyle="miter"/>
                  <v:imagedata r:id="rId116" o:title=""/>
                  <o:lock v:ext="edit" aspectratio="t"/>
                  <w10:wrap type="none"/>
                  <w10:anchorlock/>
                </v:shape>
                <o:OLEObject Type="Embed" ProgID="Equation.3" ShapeID="_x0000_i1075" DrawAspect="Content" ObjectID="_1468075775" r:id="rId11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0" w:type="auto"/>
            <w:shd w:val="clear" w:color="auto" w:fill="auto"/>
            <w:vAlign w:val="center"/>
          </w:tcPr>
          <w:p>
            <w:pPr>
              <w:pStyle w:val="66"/>
              <w:rPr>
                <w:lang w:eastAsia="ko-KR"/>
              </w:rPr>
            </w:pPr>
            <w:r>
              <w:rPr>
                <w:lang w:eastAsia="ko-KR"/>
              </w:rPr>
              <w:t>Wood</w:t>
            </w:r>
          </w:p>
        </w:tc>
        <w:tc>
          <w:tcPr>
            <w:tcW w:w="2237" w:type="dxa"/>
            <w:shd w:val="clear" w:color="auto" w:fill="auto"/>
            <w:vAlign w:val="center"/>
          </w:tcPr>
          <w:p>
            <w:pPr>
              <w:pStyle w:val="66"/>
              <w:rPr>
                <w:rFonts w:cs="Arial"/>
                <w:lang w:eastAsia="ja-JP"/>
              </w:rPr>
            </w:pPr>
            <w:r>
              <w:rPr>
                <w:position w:val="-12"/>
              </w:rPr>
              <w:object>
                <v:shape id="_x0000_i1076" o:spt="75" type="#_x0000_t75" style="height:17.5pt;width:101pt;" o:ole="t" filled="f" o:preferrelative="t" stroked="f" coordsize="21600,21600">
                  <v:path/>
                  <v:fill on="f" focussize="0,0"/>
                  <v:stroke on="f" joinstyle="miter"/>
                  <v:imagedata r:id="rId118" o:title=""/>
                  <o:lock v:ext="edit" aspectratio="t"/>
                  <w10:wrap type="none"/>
                  <w10:anchorlock/>
                </v:shape>
                <o:OLEObject Type="Embed" ProgID="Equation.3" ShapeID="_x0000_i1076" DrawAspect="Content" ObjectID="_1468075776" r:id="rId11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4544" w:type="dxa"/>
            <w:gridSpan w:val="2"/>
            <w:shd w:val="clear" w:color="auto" w:fill="auto"/>
            <w:vAlign w:val="center"/>
          </w:tcPr>
          <w:p>
            <w:pPr>
              <w:pStyle w:val="81"/>
            </w:pPr>
            <w:r>
              <w:rPr>
                <w:lang w:eastAsia="ko-KR"/>
              </w:rPr>
              <w:t>Note:</w:t>
            </w:r>
            <w:r>
              <w:tab/>
            </w:r>
            <w:r>
              <w:rPr>
                <w:lang w:eastAsia="ko-KR"/>
              </w:rPr>
              <w:t>f is in G</w:t>
            </w:r>
            <w:r>
              <w:rPr>
                <w:rFonts w:hint="eastAsia"/>
                <w:lang w:eastAsia="ko-KR"/>
              </w:rPr>
              <w:t>H</w:t>
            </w:r>
            <w:r>
              <w:rPr>
                <w:lang w:eastAsia="ko-KR"/>
              </w:rPr>
              <w:t>z</w:t>
            </w:r>
          </w:p>
        </w:tc>
      </w:tr>
    </w:tbl>
    <w:p>
      <w:pPr>
        <w:rPr>
          <w:lang w:eastAsia="ko-KR"/>
        </w:rPr>
      </w:pPr>
    </w:p>
    <w:p>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v:shape id="_x0000_i1077" o:spt="75" type="#_x0000_t75" style="height:17.5pt;width:23.5pt;" o:ole="t" filled="f" o:preferrelative="t" stroked="f" coordsize="21600,21600">
            <v:path/>
            <v:fill on="f" focussize="0,0"/>
            <v:stroke on="f" joinstyle="miter"/>
            <v:imagedata r:id="rId120" o:title=""/>
            <o:lock v:ext="edit" aspectratio="t"/>
            <w10:wrap type="none"/>
            <w10:anchorlock/>
          </v:shape>
          <o:OLEObject Type="Embed" ProgID="Equation.3" ShapeID="_x0000_i1077" DrawAspect="Content" ObjectID="_1468075777" r:id="rId119">
            <o:LockedField>false</o:LockedField>
          </o:OLEObject>
        </w:object>
      </w:r>
      <w:r>
        <w:rPr>
          <w:rFonts w:hint="eastAsia"/>
          <w:lang w:eastAsia="ko-KR"/>
        </w:rPr>
        <w:t xml:space="preserve">, </w:t>
      </w:r>
      <w:r>
        <w:rPr>
          <w:position w:val="-10"/>
        </w:rPr>
        <w:object>
          <v:shape id="_x0000_i1078" o:spt="75" type="#_x0000_t75" style="height:16pt;width:23.5pt;" o:ole="t" filled="f" o:preferrelative="t" stroked="f" coordsize="21600,21600">
            <v:path/>
            <v:fill on="f" focussize="0,0"/>
            <v:stroke on="f" joinstyle="miter"/>
            <v:imagedata r:id="rId98" o:title=""/>
            <o:lock v:ext="edit" aspectratio="t"/>
            <w10:wrap type="none"/>
            <w10:anchorlock/>
          </v:shape>
          <o:OLEObject Type="Embed" ProgID="Equation.3" ShapeID="_x0000_i1078" DrawAspect="Content" ObjectID="_1468075778" r:id="rId121">
            <o:LockedField>false</o:LockedField>
          </o:OLEObject>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pPr>
        <w:pStyle w:val="76"/>
        <w:rPr>
          <w:lang w:eastAsia="ko-KR"/>
        </w:rPr>
      </w:pPr>
      <w:bookmarkStart w:id="312" w:name="_Ref445049023"/>
      <w:r>
        <w:rPr>
          <w:lang w:eastAsia="ja-JP"/>
        </w:rPr>
        <w:t xml:space="preserve">Table </w:t>
      </w:r>
      <w:bookmarkEnd w:id="312"/>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7"/>
        <w:gridCol w:w="4196"/>
        <w:gridCol w:w="1306"/>
        <w:gridCol w:w="1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tcPr>
          <w:p>
            <w:pPr>
              <w:pStyle w:val="67"/>
              <w:rPr>
                <w:lang w:eastAsia="ja-JP"/>
              </w:rPr>
            </w:pPr>
            <w:r>
              <w:rPr>
                <w:lang w:eastAsia="ja-JP"/>
              </w:rPr>
              <w:t> </w:t>
            </w:r>
          </w:p>
        </w:tc>
        <w:tc>
          <w:tcPr>
            <w:tcW w:w="0" w:type="auto"/>
            <w:shd w:val="clear" w:color="auto" w:fill="D9D9D9"/>
          </w:tcPr>
          <w:p>
            <w:pPr>
              <w:pStyle w:val="67"/>
              <w:rPr>
                <w:lang w:eastAsia="ja-JP"/>
              </w:rPr>
            </w:pPr>
            <w:r>
              <w:rPr>
                <w:lang w:eastAsia="ja-JP"/>
              </w:rPr>
              <w:t>Path loss through external wall:</w:t>
            </w:r>
          </w:p>
          <w:p>
            <w:pPr>
              <w:pStyle w:val="67"/>
              <w:rPr>
                <w:lang w:eastAsia="ja-JP"/>
              </w:rPr>
            </w:pPr>
            <w:r>
              <w:rPr>
                <w:position w:val="-12"/>
              </w:rPr>
              <w:object>
                <v:shape id="_x0000_i1079" o:spt="75" type="#_x0000_t75" style="height:17.5pt;width:23.5pt;" o:ole="t" filled="f" o:preferrelative="t" stroked="f" coordsize="21600,21600">
                  <v:path/>
                  <v:fill on="f" focussize="0,0"/>
                  <v:stroke on="f" joinstyle="miter"/>
                  <v:imagedata r:id="rId123" o:title=""/>
                  <o:lock v:ext="edit" aspectratio="t"/>
                  <w10:wrap type="none"/>
                  <w10:anchorlock/>
                </v:shape>
                <o:OLEObject Type="Embed" ProgID="Equation.3" ShapeID="_x0000_i1079" DrawAspect="Content" ObjectID="_1468075779" r:id="rId122">
                  <o:LockedField>false</o:LockedField>
                </o:OLEObject>
              </w:object>
            </w:r>
            <w:r>
              <w:t xml:space="preserve"> in</w:t>
            </w:r>
            <w:r>
              <w:rPr>
                <w:lang w:eastAsia="ja-JP"/>
              </w:rPr>
              <w:t xml:space="preserve"> [dB]</w:t>
            </w:r>
          </w:p>
        </w:tc>
        <w:tc>
          <w:tcPr>
            <w:tcW w:w="0" w:type="auto"/>
            <w:shd w:val="clear" w:color="auto" w:fill="D9D9D9"/>
          </w:tcPr>
          <w:p>
            <w:pPr>
              <w:pStyle w:val="67"/>
              <w:rPr>
                <w:lang w:eastAsia="ja-JP"/>
              </w:rPr>
            </w:pPr>
            <w:r>
              <w:rPr>
                <w:lang w:eastAsia="ja-JP"/>
              </w:rPr>
              <w:t>Indoor loss:</w:t>
            </w:r>
          </w:p>
          <w:p>
            <w:pPr>
              <w:pStyle w:val="67"/>
              <w:rPr>
                <w:lang w:eastAsia="ja-JP"/>
              </w:rPr>
            </w:pPr>
            <w:r>
              <w:rPr>
                <w:position w:val="-10"/>
              </w:rPr>
              <w:object>
                <v:shape id="_x0000_i1080" o:spt="75" type="#_x0000_t75" style="height:16pt;width:23.5pt;" o:ole="t" filled="f" o:preferrelative="t" stroked="f" coordsize="21600,21600">
                  <v:path/>
                  <v:fill on="f" focussize="0,0"/>
                  <v:stroke on="f" joinstyle="miter"/>
                  <v:imagedata r:id="rId125" o:title=""/>
                  <o:lock v:ext="edit" aspectratio="t"/>
                  <w10:wrap type="none"/>
                  <w10:anchorlock/>
                </v:shape>
                <o:OLEObject Type="Embed" ProgID="Equation.3" ShapeID="_x0000_i1080" DrawAspect="Content" ObjectID="_1468075780" r:id="rId124">
                  <o:LockedField>false</o:LockedField>
                </o:OLEObject>
              </w:object>
            </w:r>
            <w:r>
              <w:rPr>
                <w:lang w:eastAsia="ja-JP"/>
              </w:rPr>
              <w:t xml:space="preserve"> in [dB]</w:t>
            </w:r>
          </w:p>
        </w:tc>
        <w:tc>
          <w:tcPr>
            <w:tcW w:w="0" w:type="auto"/>
            <w:shd w:val="clear" w:color="auto" w:fill="D9D9D9"/>
          </w:tcPr>
          <w:p>
            <w:pPr>
              <w:pStyle w:val="67"/>
              <w:rPr>
                <w:lang w:eastAsia="ja-JP"/>
              </w:rPr>
            </w:pPr>
            <w:r>
              <w:rPr>
                <w:lang w:eastAsia="ja-JP"/>
              </w:rPr>
              <w:t>Standard deviation:</w:t>
            </w:r>
          </w:p>
          <w:p>
            <w:pPr>
              <w:pStyle w:val="67"/>
              <w:rPr>
                <w:lang w:eastAsia="ja-JP"/>
              </w:rPr>
            </w:pPr>
            <w:r>
              <w:rPr>
                <w:lang w:eastAsia="ja-JP"/>
              </w:rPr>
              <w:t>σ</w:t>
            </w:r>
            <w:r>
              <w:rPr>
                <w:i/>
                <w:szCs w:val="18"/>
                <w:vertAlign w:val="subscript"/>
              </w:rPr>
              <w:t>P</w:t>
            </w:r>
            <w:r>
              <w:rPr>
                <w:lang w:eastAsia="ja-JP"/>
              </w:rPr>
              <w:t xml:space="preserve">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8"/>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pPr>
              <w:pStyle w:val="66"/>
              <w:rPr>
                <w:rFonts w:cs="Arial"/>
                <w:lang w:eastAsia="ja-JP"/>
              </w:rPr>
            </w:pPr>
            <w:r>
              <w:rPr>
                <w:position w:val="-36"/>
                <w:lang w:eastAsia="ko-KR"/>
              </w:rPr>
              <w:object>
                <v:shape id="_x0000_i1081" o:spt="75" type="#_x0000_t75" style="height:42pt;width:190pt;" o:ole="t" filled="f" o:preferrelative="t" stroked="f" coordsize="21600,21600">
                  <v:path/>
                  <v:fill on="f" focussize="0,0"/>
                  <v:stroke on="f" joinstyle="miter"/>
                  <v:imagedata r:id="rId127" o:title=""/>
                  <o:lock v:ext="edit" aspectratio="t"/>
                  <w10:wrap type="none"/>
                  <w10:anchorlock/>
                </v:shape>
                <o:OLEObject Type="Embed" ProgID="Equation.3" ShapeID="_x0000_i1081" DrawAspect="Content" ObjectID="_1468075781" r:id="rId126">
                  <o:LockedField>false</o:LockedField>
                </o:OLEObject>
              </w:object>
            </w:r>
          </w:p>
        </w:tc>
        <w:tc>
          <w:tcPr>
            <w:tcW w:w="0" w:type="auto"/>
            <w:shd w:val="clear" w:color="auto" w:fill="auto"/>
            <w:vAlign w:val="center"/>
          </w:tcPr>
          <w:p>
            <w:pPr>
              <w:pStyle w:val="66"/>
              <w:rPr>
                <w:lang w:eastAsia="ko-KR"/>
              </w:rPr>
            </w:pPr>
            <w:r>
              <w:rPr>
                <w:lang w:eastAsia="ja-JP"/>
              </w:rPr>
              <w:t xml:space="preserve">0.5 </w:t>
            </w:r>
            <w:r>
              <w:rPr>
                <w:position w:val="-10"/>
              </w:rPr>
              <w:object>
                <v:shape id="_x0000_i1082"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2" DrawAspect="Content" ObjectID="_1468075782" r:id="rId128">
                  <o:LockedField>false</o:LockedField>
                </o:OLEObject>
              </w:object>
            </w:r>
          </w:p>
        </w:tc>
        <w:tc>
          <w:tcPr>
            <w:tcW w:w="0" w:type="auto"/>
            <w:shd w:val="clear" w:color="auto" w:fill="auto"/>
            <w:vAlign w:val="center"/>
          </w:tcPr>
          <w:p>
            <w:pPr>
              <w:pStyle w:val="66"/>
              <w:rPr>
                <w:rFonts w:cs="Arial"/>
                <w:lang w:eastAsia="ko-KR"/>
              </w:rPr>
            </w:pPr>
            <w:r>
              <w:rPr>
                <w:rFonts w:hint="eastAsia" w:cs="Arial"/>
                <w:lang w:eastAsia="ko-KR"/>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trPr>
        <w:tc>
          <w:tcPr>
            <w:tcW w:w="0" w:type="auto"/>
            <w:shd w:val="clear" w:color="auto" w:fill="auto"/>
            <w:vAlign w:val="center"/>
          </w:tcPr>
          <w:p>
            <w:pPr>
              <w:pStyle w:val="68"/>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pPr>
              <w:pStyle w:val="66"/>
            </w:pPr>
            <w:r>
              <w:rPr>
                <w:position w:val="-36"/>
                <w:lang w:eastAsia="ko-KR"/>
              </w:rPr>
              <w:object>
                <v:shape id="_x0000_i1083" o:spt="75" type="#_x0000_t75" style="height:42pt;width:199pt;" o:ole="t" filled="f" o:preferrelative="t" stroked="f" coordsize="21600,21600">
                  <v:path/>
                  <v:fill on="f" focussize="0,0"/>
                  <v:stroke on="f" joinstyle="miter"/>
                  <v:imagedata r:id="rId131" o:title=""/>
                  <o:lock v:ext="edit" aspectratio="t"/>
                  <w10:wrap type="none"/>
                  <w10:anchorlock/>
                </v:shape>
                <o:OLEObject Type="Embed" ProgID="Equation.3" ShapeID="_x0000_i1083" DrawAspect="Content" ObjectID="_1468075783" r:id="rId130">
                  <o:LockedField>false</o:LockedField>
                </o:OLEObject>
              </w:object>
            </w:r>
          </w:p>
        </w:tc>
        <w:tc>
          <w:tcPr>
            <w:tcW w:w="0" w:type="auto"/>
            <w:shd w:val="clear" w:color="auto" w:fill="auto"/>
            <w:vAlign w:val="center"/>
          </w:tcPr>
          <w:p>
            <w:pPr>
              <w:pStyle w:val="66"/>
              <w:rPr>
                <w:lang w:eastAsia="ja-JP"/>
              </w:rPr>
            </w:pPr>
            <w:r>
              <w:rPr>
                <w:lang w:eastAsia="ja-JP"/>
              </w:rPr>
              <w:t xml:space="preserve">0.5 </w:t>
            </w:r>
            <w:r>
              <w:rPr>
                <w:position w:val="-10"/>
              </w:rPr>
              <w:object>
                <v:shape id="_x0000_i1084"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4" DrawAspect="Content" ObjectID="_1468075784" r:id="rId132">
                  <o:LockedField>false</o:LockedField>
                </o:OLEObject>
              </w:object>
            </w:r>
          </w:p>
        </w:tc>
        <w:tc>
          <w:tcPr>
            <w:tcW w:w="0" w:type="auto"/>
            <w:shd w:val="clear" w:color="auto" w:fill="auto"/>
            <w:vAlign w:val="center"/>
          </w:tcPr>
          <w:p>
            <w:pPr>
              <w:pStyle w:val="66"/>
              <w:rPr>
                <w:rFonts w:cs="Arial"/>
                <w:lang w:eastAsia="ko-KR"/>
              </w:rPr>
            </w:pPr>
            <w:r>
              <w:rPr>
                <w:rFonts w:hint="eastAsia" w:cs="Arial"/>
                <w:lang w:eastAsia="ko-KR"/>
              </w:rPr>
              <w:t>6.5</w:t>
            </w:r>
          </w:p>
        </w:tc>
      </w:tr>
    </w:tbl>
    <w:p>
      <w:pPr>
        <w:rPr>
          <w:lang w:eastAsia="ko-KR"/>
        </w:rPr>
      </w:pPr>
    </w:p>
    <w:p>
      <w:pPr>
        <w:rPr>
          <w:lang w:eastAsia="ko-KR"/>
        </w:rPr>
      </w:pPr>
      <w:r>
        <w:rPr>
          <w:position w:val="-10"/>
        </w:rPr>
        <w:object>
          <v:shape id="_x0000_i1085"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5" DrawAspect="Content" ObjectID="_1468075785" r:id="rId133">
            <o:LockedField>false</o:LockedField>
          </o:OLEObject>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v:shape id="_x0000_i1086" o:spt="75" type="#_x0000_t75" style="height:16pt;width:29pt;" o:ole="t" filled="f" o:preferrelative="t" stroked="f" coordsize="21600,21600">
            <v:path/>
            <v:fill on="f" focussize="0,0"/>
            <v:stroke on="f" joinstyle="miter"/>
            <v:imagedata r:id="rId129" o:title=""/>
            <o:lock v:ext="edit" aspectratio="t"/>
            <w10:wrap type="none"/>
            <w10:anchorlock/>
          </v:shape>
          <o:OLEObject Type="Embed" ProgID="Equation.3" ShapeID="_x0000_i1086" DrawAspect="Content" ObjectID="_1468075786" r:id="rId134">
            <o:LockedField>false</o:LockedField>
          </o:OLEObject>
        </w:object>
      </w:r>
      <w:r>
        <w:t xml:space="preserve"> </w:t>
      </w:r>
      <w:r>
        <w:rPr>
          <w:rFonts w:hint="eastAsia"/>
          <w:lang w:eastAsia="ko-KR"/>
        </w:rPr>
        <w:t>shall be UT-specifically generated.</w:t>
      </w:r>
    </w:p>
    <w:p>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pPr>
        <w:rPr>
          <w:bCs/>
        </w:rPr>
      </w:pPr>
      <w:r>
        <w:rPr>
          <w:rFonts w:hint="eastAsia"/>
          <w:b w:val="0"/>
          <w:bCs/>
          <w:lang w:eastAsia="ko-KR"/>
        </w:rPr>
        <w:t>Only the low-loss model is applicable to RMa.</w:t>
      </w:r>
    </w:p>
    <w:p>
      <w:pPr>
        <w:pStyle w:val="5"/>
      </w:pPr>
      <w:bookmarkStart w:id="313" w:name="_Toc20729"/>
      <w:bookmarkStart w:id="314" w:name="_Toc6308"/>
      <w:bookmarkStart w:id="315" w:name="_Toc25684"/>
      <w:bookmarkStart w:id="316" w:name="_Toc21252"/>
      <w:bookmarkStart w:id="317" w:name="_Toc133498134"/>
      <w:bookmarkStart w:id="318" w:name="_Toc3500"/>
      <w:bookmarkStart w:id="319" w:name="_Toc25730"/>
      <w:bookmarkStart w:id="320" w:name="_Toc25935"/>
      <w:bookmarkStart w:id="321" w:name="_Toc1477"/>
      <w:bookmarkStart w:id="322" w:name="_Toc5261"/>
      <w:r>
        <w:rPr>
          <w:rFonts w:hint="eastAsia"/>
        </w:rPr>
        <w:t xml:space="preserve">6.2.5.3 </w:t>
      </w:r>
      <w:r>
        <w:t>Propagation model between ATG BS and TN BS</w:t>
      </w:r>
      <w:bookmarkEnd w:id="313"/>
      <w:bookmarkEnd w:id="314"/>
      <w:bookmarkEnd w:id="315"/>
      <w:bookmarkEnd w:id="316"/>
      <w:bookmarkEnd w:id="317"/>
      <w:bookmarkEnd w:id="318"/>
      <w:bookmarkEnd w:id="319"/>
      <w:bookmarkEnd w:id="320"/>
      <w:bookmarkEnd w:id="321"/>
      <w:bookmarkEnd w:id="322"/>
    </w:p>
    <w:p>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pPr>
        <w:pStyle w:val="5"/>
      </w:pPr>
      <w:bookmarkStart w:id="323" w:name="_Toc133498135"/>
      <w:bookmarkStart w:id="324" w:name="_Toc20807"/>
      <w:bookmarkStart w:id="325" w:name="_Toc13703"/>
      <w:bookmarkStart w:id="326" w:name="_Toc29549"/>
      <w:bookmarkStart w:id="327" w:name="_Toc7836"/>
      <w:bookmarkStart w:id="328" w:name="_Toc4183"/>
      <w:bookmarkStart w:id="329" w:name="_Toc30138"/>
      <w:bookmarkStart w:id="330" w:name="_Toc24038"/>
      <w:bookmarkStart w:id="331" w:name="_Toc31572"/>
      <w:bookmarkStart w:id="332" w:name="_Toc18069"/>
      <w:r>
        <w:rPr>
          <w:rFonts w:hint="eastAsia"/>
        </w:rPr>
        <w:t xml:space="preserve">6.2.5.4 </w:t>
      </w:r>
      <w:r>
        <w:t>Propagation model between ATG BS and TN UE</w:t>
      </w:r>
      <w:bookmarkEnd w:id="323"/>
      <w:bookmarkEnd w:id="324"/>
      <w:bookmarkEnd w:id="325"/>
      <w:bookmarkEnd w:id="326"/>
      <w:bookmarkEnd w:id="327"/>
      <w:bookmarkEnd w:id="328"/>
      <w:bookmarkEnd w:id="329"/>
      <w:bookmarkEnd w:id="330"/>
      <w:bookmarkEnd w:id="331"/>
      <w:bookmarkEnd w:id="332"/>
    </w:p>
    <w:p>
      <w:r>
        <w:rPr>
          <w:lang w:eastAsia="zh-CN"/>
        </w:rPr>
        <w:t>The propagation model between ATG BS and TN UE is same as the propagation model between TN BS and TN UE in clause 6.2.5.2</w:t>
      </w:r>
    </w:p>
    <w:p>
      <w:pPr>
        <w:pStyle w:val="5"/>
      </w:pPr>
      <w:bookmarkStart w:id="333" w:name="_Toc14199"/>
      <w:bookmarkStart w:id="334" w:name="_Toc10359"/>
      <w:bookmarkStart w:id="335" w:name="_Toc17180"/>
      <w:bookmarkStart w:id="336" w:name="_Toc133498136"/>
      <w:bookmarkStart w:id="337" w:name="_Toc23146"/>
      <w:bookmarkStart w:id="338" w:name="_Toc8683"/>
      <w:bookmarkStart w:id="339" w:name="_Toc16760"/>
      <w:bookmarkStart w:id="340" w:name="_Toc15775"/>
      <w:bookmarkStart w:id="341" w:name="_Toc3123"/>
      <w:bookmarkStart w:id="342" w:name="_Toc28521"/>
      <w:r>
        <w:rPr>
          <w:rFonts w:hint="eastAsia"/>
        </w:rPr>
        <w:t xml:space="preserve">6.2.5.5 </w:t>
      </w:r>
      <w:r>
        <w:t>Propagation model between TN BS and ATG UE</w:t>
      </w:r>
      <w:bookmarkEnd w:id="333"/>
      <w:bookmarkEnd w:id="334"/>
      <w:bookmarkEnd w:id="335"/>
      <w:bookmarkEnd w:id="336"/>
      <w:bookmarkEnd w:id="337"/>
      <w:bookmarkEnd w:id="338"/>
      <w:bookmarkEnd w:id="339"/>
      <w:bookmarkEnd w:id="340"/>
      <w:bookmarkEnd w:id="341"/>
      <w:bookmarkEnd w:id="342"/>
    </w:p>
    <w:p>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pPr>
        <w:pStyle w:val="5"/>
      </w:pPr>
      <w:bookmarkStart w:id="343" w:name="_Toc9384"/>
      <w:bookmarkStart w:id="344" w:name="_Toc133498137"/>
      <w:bookmarkStart w:id="345" w:name="_Toc13402"/>
      <w:bookmarkStart w:id="346" w:name="_Toc17811"/>
      <w:bookmarkStart w:id="347" w:name="_Toc30971"/>
      <w:bookmarkStart w:id="348" w:name="_Toc2721"/>
      <w:bookmarkStart w:id="349" w:name="_Toc5310"/>
      <w:bookmarkStart w:id="350" w:name="_Toc9511"/>
      <w:bookmarkStart w:id="351" w:name="_Toc6879"/>
      <w:bookmarkStart w:id="352" w:name="_Toc7959"/>
      <w:r>
        <w:rPr>
          <w:rFonts w:hint="eastAsia"/>
          <w:lang w:eastAsia="zh-CN"/>
        </w:rPr>
        <w:t xml:space="preserve">6.2.5.6 </w:t>
      </w:r>
      <w:r>
        <w:t>Propagation model between ATG BS and ATG UE</w:t>
      </w:r>
      <w:bookmarkEnd w:id="343"/>
      <w:bookmarkEnd w:id="344"/>
      <w:bookmarkEnd w:id="345"/>
      <w:bookmarkEnd w:id="346"/>
      <w:bookmarkEnd w:id="347"/>
      <w:bookmarkEnd w:id="348"/>
      <w:bookmarkEnd w:id="349"/>
      <w:bookmarkEnd w:id="350"/>
      <w:bookmarkEnd w:id="351"/>
      <w:bookmarkEnd w:id="352"/>
    </w:p>
    <w:p>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pPr>
        <w:pStyle w:val="4"/>
        <w:rPr>
          <w:lang w:eastAsia="zh-CN"/>
        </w:rPr>
      </w:pPr>
      <w:bookmarkStart w:id="353" w:name="_Toc26040"/>
      <w:bookmarkStart w:id="354" w:name="_Toc9892"/>
      <w:bookmarkStart w:id="355" w:name="_Toc169"/>
      <w:bookmarkStart w:id="356" w:name="_Toc133498138"/>
      <w:bookmarkStart w:id="357" w:name="_Toc24093"/>
      <w:bookmarkStart w:id="358" w:name="_Toc31132"/>
      <w:bookmarkStart w:id="359" w:name="_Toc6492"/>
      <w:bookmarkStart w:id="360" w:name="_Toc28902"/>
      <w:bookmarkStart w:id="361" w:name="_Toc10542"/>
      <w:bookmarkStart w:id="362" w:name="_Toc7360"/>
      <w:r>
        <w:rPr>
          <w:rFonts w:hint="eastAsia"/>
          <w:lang w:eastAsia="zh-CN"/>
        </w:rPr>
        <w:t xml:space="preserve">6.2.6 </w:t>
      </w:r>
      <w:r>
        <w:rPr>
          <w:lang w:eastAsia="zh-CN"/>
        </w:rPr>
        <w:t>Transmission power control model</w:t>
      </w:r>
      <w:bookmarkEnd w:id="353"/>
      <w:bookmarkEnd w:id="354"/>
      <w:bookmarkEnd w:id="355"/>
      <w:bookmarkEnd w:id="356"/>
      <w:bookmarkEnd w:id="357"/>
      <w:bookmarkEnd w:id="358"/>
      <w:bookmarkEnd w:id="359"/>
      <w:bookmarkEnd w:id="360"/>
      <w:bookmarkEnd w:id="361"/>
      <w:bookmarkEnd w:id="362"/>
    </w:p>
    <w:p>
      <w:pPr>
        <w:pStyle w:val="5"/>
      </w:pPr>
      <w:bookmarkStart w:id="363" w:name="_Toc26713"/>
      <w:bookmarkStart w:id="364" w:name="_Toc133498139"/>
      <w:bookmarkStart w:id="365" w:name="_Toc14696"/>
      <w:bookmarkStart w:id="366" w:name="_Toc19774"/>
      <w:bookmarkStart w:id="367" w:name="_Toc11903"/>
      <w:bookmarkStart w:id="368" w:name="_Toc27913"/>
      <w:bookmarkStart w:id="369" w:name="_Toc27233"/>
      <w:bookmarkStart w:id="370" w:name="_Toc850"/>
      <w:bookmarkStart w:id="371" w:name="_Toc5305"/>
      <w:bookmarkStart w:id="372" w:name="_Toc7190"/>
      <w:r>
        <w:rPr>
          <w:rFonts w:hint="eastAsia"/>
        </w:rPr>
        <w:t xml:space="preserve">6.2.6.1 </w:t>
      </w:r>
      <w:r>
        <w:t>TN UL TPC</w:t>
      </w:r>
      <w:bookmarkEnd w:id="363"/>
      <w:bookmarkEnd w:id="364"/>
      <w:bookmarkEnd w:id="365"/>
      <w:bookmarkEnd w:id="366"/>
      <w:bookmarkEnd w:id="367"/>
      <w:bookmarkEnd w:id="368"/>
      <w:bookmarkEnd w:id="369"/>
      <w:bookmarkEnd w:id="370"/>
      <w:bookmarkEnd w:id="371"/>
      <w:bookmarkEnd w:id="372"/>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8"/>
        <w:jc w:val="center"/>
        <w:rPr>
          <w:rFonts w:eastAsia="宋体"/>
          <w:lang w:eastAsia="zh-CN"/>
        </w:rPr>
      </w:pPr>
      <w:r>
        <w:rPr>
          <w:rFonts w:eastAsia="宋体"/>
          <w:kern w:val="2"/>
          <w:sz w:val="21"/>
          <w:szCs w:val="22"/>
          <w:lang w:val="en-US" w:eastAsia="zh-CN"/>
        </w:rPr>
        <w:object>
          <v:shape id="_x0000_i1087" o:spt="75" type="#_x0000_t75" style="height:44pt;width:180.5pt;" o:ole="t" fillcolor="#00CC99" filled="f" o:preferrelative="t" stroked="f" coordsize="21600,21600">
            <v:path/>
            <v:fill on="f" focussize="0,0"/>
            <v:stroke on="f" joinstyle="miter"/>
            <v:imagedata r:id="rId136" o:title=""/>
            <o:lock v:ext="edit" aspectratio="t"/>
            <w10:wrap type="none"/>
            <w10:anchorlock/>
          </v:shape>
          <o:OLEObject Type="Embed" ProgID="Equation.3" ShapeID="_x0000_i1087" DrawAspect="Content" ObjectID="_1468075787" r:id="rId135">
            <o:LockedField>false</o:LockedField>
          </o:OLEObject>
        </w:object>
      </w:r>
    </w:p>
    <w:p>
      <w:r>
        <w:t xml:space="preserve">where: </w:t>
      </w:r>
    </w:p>
    <w:p>
      <w:pPr>
        <w:pStyle w:val="74"/>
      </w:pPr>
      <w:r>
        <w:t>-</w:t>
      </w:r>
      <w:r>
        <w:tab/>
      </w:r>
      <w:r>
        <w:t>P</w:t>
      </w:r>
      <w:r>
        <w:rPr>
          <w:vertAlign w:val="subscript"/>
        </w:rPr>
        <w:t>max</w:t>
      </w:r>
      <w:r>
        <w:t xml:space="preserve"> = 23dBm, </w:t>
      </w:r>
    </w:p>
    <w:p>
      <w:pPr>
        <w:pStyle w:val="74"/>
      </w:pPr>
      <w:r>
        <w:t>-</w:t>
      </w:r>
      <w:r>
        <w:tab/>
      </w:r>
      <w:r>
        <w:t>R</w:t>
      </w:r>
      <w:r>
        <w:rPr>
          <w:vertAlign w:val="subscript"/>
        </w:rPr>
        <w:t>min</w:t>
      </w:r>
      <w:r>
        <w:t xml:space="preserve"> = </w:t>
      </w:r>
      <w:r>
        <w:rPr>
          <w:rFonts w:hint="eastAsia"/>
          <w:lang w:eastAsia="zh-CN"/>
        </w:rPr>
        <w:t>-</w:t>
      </w:r>
      <w:r>
        <w:t xml:space="preserve">40dBm, </w:t>
      </w:r>
    </w:p>
    <w:p>
      <w:pPr>
        <w:pStyle w:val="74"/>
      </w:pPr>
      <w:r>
        <w:t>-</w:t>
      </w:r>
      <w:r>
        <w:tab/>
      </w:r>
      <w:r>
        <w:t>CL</w:t>
      </w:r>
      <w:r>
        <w:rPr>
          <w:vertAlign w:val="subscript"/>
        </w:rPr>
        <w:t>x-ile</w:t>
      </w:r>
      <w:r>
        <w:t xml:space="preserve"> and γ are set as following:</w:t>
      </w:r>
    </w:p>
    <w:p>
      <w:pPr>
        <w:pStyle w:val="74"/>
        <w:ind w:firstLine="0"/>
        <w:rPr>
          <w:lang w:eastAsia="ja-JP"/>
        </w:rPr>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r>
        <w:t>-</w:t>
      </w:r>
      <w:r>
        <w:tab/>
      </w:r>
      <w:r>
        <w:t>γ</w:t>
      </w:r>
      <w:r>
        <w:rPr>
          <w:lang w:eastAsia="ja-JP"/>
        </w:rPr>
        <w:t xml:space="preserve"> = 1 For uplink scenario.</w:t>
      </w:r>
    </w:p>
    <w:p>
      <w:pPr>
        <w:pStyle w:val="5"/>
      </w:pPr>
      <w:bookmarkStart w:id="373" w:name="_Toc28185"/>
      <w:bookmarkStart w:id="374" w:name="_Toc31891"/>
      <w:bookmarkStart w:id="375" w:name="_Toc27191"/>
      <w:bookmarkStart w:id="376" w:name="_Toc133498140"/>
      <w:bookmarkStart w:id="377" w:name="_Toc29207"/>
      <w:bookmarkStart w:id="378" w:name="_Toc24215"/>
      <w:bookmarkStart w:id="379" w:name="_Toc3113"/>
      <w:bookmarkStart w:id="380" w:name="_Toc13571"/>
      <w:bookmarkStart w:id="381" w:name="_Toc32352"/>
      <w:bookmarkStart w:id="382" w:name="_Toc6608"/>
      <w:r>
        <w:rPr>
          <w:rFonts w:hint="eastAsia"/>
        </w:rPr>
        <w:t xml:space="preserve">6.2.6.2 </w:t>
      </w:r>
      <w:r>
        <w:t>TN DL TPC</w:t>
      </w:r>
      <w:bookmarkEnd w:id="373"/>
      <w:bookmarkEnd w:id="374"/>
      <w:bookmarkEnd w:id="375"/>
      <w:bookmarkEnd w:id="376"/>
      <w:bookmarkEnd w:id="377"/>
      <w:bookmarkEnd w:id="378"/>
      <w:bookmarkEnd w:id="379"/>
      <w:bookmarkEnd w:id="380"/>
      <w:bookmarkEnd w:id="381"/>
      <w:bookmarkEnd w:id="382"/>
    </w:p>
    <w:p>
      <w:r>
        <w:rPr>
          <w:lang w:eastAsia="zh-CN"/>
        </w:rPr>
        <w:t>For downlink scenario, no power control scheme is applied.</w:t>
      </w:r>
    </w:p>
    <w:p>
      <w:pPr>
        <w:pStyle w:val="5"/>
      </w:pPr>
      <w:bookmarkStart w:id="383" w:name="_Toc28299"/>
      <w:bookmarkStart w:id="384" w:name="_Toc29338"/>
      <w:bookmarkStart w:id="385" w:name="_Toc133498141"/>
      <w:bookmarkStart w:id="386" w:name="_Toc943"/>
      <w:bookmarkStart w:id="387" w:name="_Toc19640"/>
      <w:bookmarkStart w:id="388" w:name="_Toc16288"/>
      <w:bookmarkStart w:id="389" w:name="_Toc5115"/>
      <w:bookmarkStart w:id="390" w:name="_Toc18247"/>
      <w:bookmarkStart w:id="391" w:name="_Toc11654"/>
      <w:bookmarkStart w:id="392" w:name="_Toc16223"/>
      <w:r>
        <w:rPr>
          <w:rFonts w:hint="eastAsia"/>
        </w:rPr>
        <w:t xml:space="preserve">6.2.6.3 </w:t>
      </w:r>
      <w:r>
        <w:t>ATG UL TPC</w:t>
      </w:r>
      <w:bookmarkEnd w:id="383"/>
      <w:bookmarkEnd w:id="384"/>
      <w:bookmarkEnd w:id="385"/>
      <w:bookmarkEnd w:id="386"/>
      <w:bookmarkEnd w:id="387"/>
      <w:bookmarkEnd w:id="388"/>
      <w:bookmarkEnd w:id="389"/>
      <w:bookmarkEnd w:id="390"/>
      <w:bookmarkEnd w:id="391"/>
      <w:bookmarkEnd w:id="392"/>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8"/>
        <w:jc w:val="center"/>
        <w:rPr>
          <w:rFonts w:eastAsia="宋体"/>
          <w:lang w:eastAsia="zh-CN"/>
        </w:rPr>
      </w:pPr>
      <w:r>
        <w:rPr>
          <w:rFonts w:eastAsia="宋体"/>
          <w:kern w:val="2"/>
          <w:sz w:val="21"/>
          <w:szCs w:val="22"/>
          <w:lang w:val="en-US" w:eastAsia="zh-CN"/>
        </w:rPr>
        <w:object>
          <v:shape id="_x0000_i1088" o:spt="75" type="#_x0000_t75" style="height:44pt;width:180.5pt;" o:ole="t" fillcolor="#00CC99" filled="f" o:preferrelative="t" stroked="f" coordsize="21600,21600">
            <v:path/>
            <v:fill on="f" focussize="0,0"/>
            <v:stroke on="f" joinstyle="miter"/>
            <v:imagedata r:id="rId136" o:title=""/>
            <o:lock v:ext="edit" aspectratio="t"/>
            <w10:wrap type="none"/>
            <w10:anchorlock/>
          </v:shape>
          <o:OLEObject Type="Embed" ProgID="Equation.3" ShapeID="_x0000_i1088" DrawAspect="Content" ObjectID="_1468075788" r:id="rId137">
            <o:LockedField>false</o:LockedField>
          </o:OLEObject>
        </w:object>
      </w:r>
    </w:p>
    <w:p>
      <w:r>
        <w:t xml:space="preserve">where: </w:t>
      </w:r>
    </w:p>
    <w:p>
      <w:pPr>
        <w:pStyle w:val="74"/>
      </w:pPr>
      <w:r>
        <w:t>-</w:t>
      </w:r>
      <w:r>
        <w:tab/>
      </w:r>
      <w:r>
        <w:t>P</w:t>
      </w:r>
      <w:r>
        <w:rPr>
          <w:vertAlign w:val="subscript"/>
        </w:rPr>
        <w:t>max</w:t>
      </w:r>
      <w:r>
        <w:t xml:space="preserve"> is ATG UE maximum output power (TRP) dBm, </w:t>
      </w:r>
    </w:p>
    <w:p>
      <w:pPr>
        <w:pStyle w:val="74"/>
      </w:pPr>
      <w:r>
        <w:t>-</w:t>
      </w:r>
      <w:r>
        <w:tab/>
      </w:r>
      <w:r>
        <w:t>R</w:t>
      </w:r>
      <w:r>
        <w:rPr>
          <w:vertAlign w:val="subscript"/>
        </w:rPr>
        <w:t>min</w:t>
      </w:r>
      <w:r>
        <w:t xml:space="preserve"> is ATG UE minimum output power (TRP)</w:t>
      </w:r>
      <w:r>
        <w:rPr>
          <w:lang w:eastAsia="zh-CN"/>
        </w:rPr>
        <w:t xml:space="preserve"> </w:t>
      </w:r>
      <w:r>
        <w:t xml:space="preserve">dBm, </w:t>
      </w:r>
    </w:p>
    <w:p>
      <w:pPr>
        <w:pStyle w:val="74"/>
      </w:pPr>
      <w:r>
        <w:t>-</w:t>
      </w:r>
      <w:r>
        <w:tab/>
      </w:r>
      <w:r>
        <w:t>CL</w:t>
      </w:r>
      <w:r>
        <w:rPr>
          <w:vertAlign w:val="subscript"/>
        </w:rPr>
        <w:t>x-ile</w:t>
      </w:r>
      <w:r>
        <w:t xml:space="preserve"> and γ are set as following:</w:t>
      </w:r>
    </w:p>
    <w:p>
      <w:pPr>
        <w:pStyle w:val="74"/>
        <w:ind w:firstLine="0"/>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pPr>
        <w:pStyle w:val="74"/>
        <w:ind w:firstLine="0"/>
      </w:pPr>
      <w:r>
        <w:tab/>
      </w:r>
      <w:r>
        <w:rPr>
          <w:lang w:val="sv-SE"/>
        </w:rPr>
        <w:t>-</w:t>
      </w:r>
      <w:r>
        <w:rPr>
          <w:lang w:val="sv-SE"/>
        </w:rPr>
        <w:tab/>
      </w:r>
      <w:r>
        <w:rPr>
          <w:rFonts w:hint="eastAsia"/>
        </w:rPr>
        <w:t>SNR</w:t>
      </w:r>
      <w:r>
        <w:rPr>
          <w:vertAlign w:val="subscript"/>
        </w:rPr>
        <w:t>target</w:t>
      </w:r>
      <w:r>
        <w:t xml:space="preserve"> is the targeted UL SNR (dB).</w:t>
      </w:r>
    </w:p>
    <w:p>
      <w:pPr>
        <w:pStyle w:val="74"/>
        <w:ind w:firstLine="0"/>
      </w:pPr>
      <w:r>
        <w:tab/>
      </w:r>
      <w:r>
        <w:t>-    F is BS noise figure (dB).</w:t>
      </w:r>
    </w:p>
    <w:p>
      <w:pPr>
        <w:pStyle w:val="74"/>
        <w:ind w:firstLine="0"/>
        <w:rPr>
          <w:lang w:eastAsia="ja-JP"/>
        </w:rPr>
      </w:pPr>
      <w:r>
        <w:tab/>
      </w:r>
      <w:r>
        <w:t>-    B is UL transmission BW (Hz)</w:t>
      </w:r>
    </w:p>
    <w:p>
      <w:pPr>
        <w:rPr>
          <w:lang w:eastAsia="ja-JP"/>
        </w:rPr>
      </w:pPr>
      <w:r>
        <w:t>-</w:t>
      </w:r>
      <w:r>
        <w:tab/>
      </w:r>
      <w:r>
        <w:t>γ</w:t>
      </w:r>
      <w:r>
        <w:rPr>
          <w:lang w:eastAsia="ja-JP"/>
        </w:rPr>
        <w:t xml:space="preserve"> = 1 for uplink scenario.</w:t>
      </w:r>
    </w:p>
    <w:p>
      <w:pPr>
        <w:rPr>
          <w:rFonts w:eastAsia="宋体"/>
          <w:lang w:eastAsia="zh-CN"/>
        </w:rPr>
      </w:pPr>
      <w:r>
        <w:rPr>
          <w:rFonts w:eastAsia="宋体"/>
          <w:lang w:eastAsia="zh-CN"/>
        </w:rPr>
        <w:t>The specific parameters are assumed as below in table 6.2.6.3.</w:t>
      </w:r>
    </w:p>
    <w:p>
      <w:pPr>
        <w:pStyle w:val="76"/>
        <w:rPr>
          <w:lang w:eastAsia="ko-KR"/>
        </w:rPr>
      </w:pPr>
      <w:r>
        <w:rPr>
          <w:lang w:eastAsia="ja-JP"/>
        </w:rPr>
        <w:t>Table 6.2.6.3-1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0"/>
        <w:gridCol w:w="3222"/>
        <w:gridCol w:w="3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U</w:t>
            </w:r>
            <w:r>
              <w:rPr>
                <w:lang w:val="en-US"/>
              </w:rPr>
              <w:t>E UL power control parameters</w:t>
            </w:r>
          </w:p>
        </w:tc>
        <w:tc>
          <w:tcPr>
            <w:tcW w:w="3245" w:type="dxa"/>
            <w:shd w:val="clear" w:color="auto" w:fill="E7E6E6"/>
          </w:tcPr>
          <w:p>
            <w:pPr>
              <w:rPr>
                <w:lang w:val="en-US"/>
              </w:rPr>
            </w:pPr>
            <w:r>
              <w:rPr>
                <w:rFonts w:hint="eastAsia"/>
                <w:lang w:val="en-US"/>
              </w:rPr>
              <w:t>2</w:t>
            </w:r>
            <w:r>
              <w:rPr>
                <w:lang w:val="en-US"/>
              </w:rPr>
              <w:t>GHz</w:t>
            </w:r>
          </w:p>
        </w:tc>
        <w:tc>
          <w:tcPr>
            <w:tcW w:w="3275" w:type="dxa"/>
            <w:shd w:val="clear" w:color="auto" w:fill="E7E6E6"/>
          </w:tcPr>
          <w:p>
            <w:pPr>
              <w:rPr>
                <w:lang w:val="en-US"/>
              </w:rPr>
            </w:pPr>
            <w:r>
              <w:rPr>
                <w:rFonts w:hint="eastAsia"/>
                <w:lang w:val="en-US"/>
              </w:rPr>
              <w:t>4</w:t>
            </w:r>
            <w:r>
              <w:rPr>
                <w:lang w:val="en-US"/>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lang w:val="en-US"/>
              </w:rPr>
              <w:t>Target SNR</w:t>
            </w:r>
          </w:p>
        </w:tc>
        <w:tc>
          <w:tcPr>
            <w:tcW w:w="3245" w:type="dxa"/>
            <w:shd w:val="clear" w:color="auto" w:fill="auto"/>
          </w:tcPr>
          <w:p>
            <w:pPr>
              <w:rPr>
                <w:lang w:val="en-US"/>
              </w:rPr>
            </w:pPr>
            <w:r>
              <w:rPr>
                <w:rFonts w:hint="eastAsia"/>
                <w:lang w:val="en-US"/>
              </w:rPr>
              <w:t>1</w:t>
            </w:r>
            <w:r>
              <w:rPr>
                <w:lang w:val="en-US"/>
              </w:rPr>
              <w:t>5dB</w:t>
            </w:r>
          </w:p>
        </w:tc>
        <w:tc>
          <w:tcPr>
            <w:tcW w:w="3275" w:type="dxa"/>
            <w:shd w:val="clear" w:color="auto" w:fill="auto"/>
          </w:tcPr>
          <w:p>
            <w:pPr>
              <w:rPr>
                <w:lang w:val="en-US"/>
              </w:rPr>
            </w:pPr>
            <w:r>
              <w:rPr>
                <w:rFonts w:hint="eastAsia"/>
                <w:lang w:val="en-US"/>
              </w:rPr>
              <w:t>1</w:t>
            </w:r>
            <w:r>
              <w:rPr>
                <w:lang w:val="en-US"/>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P</w:t>
            </w:r>
            <w:r>
              <w:rPr>
                <w:lang w:val="en-US"/>
              </w:rPr>
              <w:t>max (TRP)</w:t>
            </w:r>
          </w:p>
        </w:tc>
        <w:tc>
          <w:tcPr>
            <w:tcW w:w="3245" w:type="dxa"/>
            <w:shd w:val="clear" w:color="auto" w:fill="auto"/>
          </w:tcPr>
          <w:p>
            <w:pPr>
              <w:rPr>
                <w:lang w:val="en-US"/>
              </w:rPr>
            </w:pPr>
            <w:r>
              <w:rPr>
                <w:rFonts w:hint="eastAsia"/>
                <w:lang w:val="en-US"/>
              </w:rPr>
              <w:t>4</w:t>
            </w:r>
            <w:r>
              <w:rPr>
                <w:lang w:val="en-US"/>
              </w:rPr>
              <w:t>0dBm</w:t>
            </w:r>
          </w:p>
        </w:tc>
        <w:tc>
          <w:tcPr>
            <w:tcW w:w="3275" w:type="dxa"/>
            <w:shd w:val="clear" w:color="auto" w:fill="auto"/>
          </w:tcPr>
          <w:p>
            <w:pPr>
              <w:rPr>
                <w:lang w:val="en-US"/>
              </w:rPr>
            </w:pPr>
            <w:r>
              <w:rPr>
                <w:rFonts w:hint="eastAsia"/>
                <w:lang w:val="en-US"/>
              </w:rPr>
              <w:t>2</w:t>
            </w:r>
            <w:r>
              <w:rPr>
                <w:lang w:val="en-US"/>
              </w:rPr>
              <w:t>3dBm for per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B</w:t>
            </w:r>
            <w:r>
              <w:rPr>
                <w:lang w:val="en-US"/>
              </w:rPr>
              <w:t>W</w:t>
            </w:r>
          </w:p>
        </w:tc>
        <w:tc>
          <w:tcPr>
            <w:tcW w:w="3245" w:type="dxa"/>
            <w:shd w:val="clear" w:color="auto" w:fill="auto"/>
          </w:tcPr>
          <w:p>
            <w:pPr>
              <w:rPr>
                <w:lang w:val="en-US"/>
              </w:rPr>
            </w:pPr>
            <w:r>
              <w:rPr>
                <w:rFonts w:hint="eastAsia"/>
                <w:lang w:val="en-US"/>
              </w:rPr>
              <w:t>2</w:t>
            </w:r>
            <w:r>
              <w:rPr>
                <w:lang w:val="en-US"/>
              </w:rPr>
              <w:t>0MHz</w:t>
            </w:r>
          </w:p>
        </w:tc>
        <w:tc>
          <w:tcPr>
            <w:tcW w:w="3275" w:type="dxa"/>
            <w:shd w:val="clear" w:color="auto" w:fill="auto"/>
          </w:tcPr>
          <w:p>
            <w:pPr>
              <w:rPr>
                <w:lang w:val="en-US"/>
              </w:rPr>
            </w:pPr>
            <w:r>
              <w:rPr>
                <w:rFonts w:hint="eastAsia"/>
                <w:lang w:val="en-US"/>
              </w:rPr>
              <w:t>1</w:t>
            </w:r>
            <w:r>
              <w:rPr>
                <w:lang w:val="en-US"/>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t>R</w:t>
            </w:r>
            <w:r>
              <w:rPr>
                <w:vertAlign w:val="subscript"/>
              </w:rPr>
              <w:t>min</w:t>
            </w:r>
          </w:p>
        </w:tc>
        <w:tc>
          <w:tcPr>
            <w:tcW w:w="3245" w:type="dxa"/>
            <w:shd w:val="clear" w:color="auto" w:fill="auto"/>
          </w:tcPr>
          <w:p>
            <w:pPr>
              <w:rPr>
                <w:lang w:val="en-US" w:eastAsia="zh-CN"/>
              </w:rPr>
            </w:pPr>
            <w:r>
              <w:rPr>
                <w:rFonts w:hint="eastAsia"/>
                <w:lang w:val="en-US" w:eastAsia="zh-CN"/>
              </w:rPr>
              <w:t>-</w:t>
            </w:r>
            <w:r>
              <w:rPr>
                <w:lang w:val="en-US" w:eastAsia="zh-CN"/>
              </w:rPr>
              <w:t>27dBm</w:t>
            </w:r>
          </w:p>
        </w:tc>
        <w:tc>
          <w:tcPr>
            <w:tcW w:w="3275" w:type="dxa"/>
            <w:shd w:val="clear" w:color="auto" w:fill="auto"/>
          </w:tcPr>
          <w:p>
            <w:pPr>
              <w:rPr>
                <w:lang w:val="en-US"/>
              </w:rPr>
            </w:pPr>
            <w:r>
              <w:rPr>
                <w:rFonts w:hint="eastAsia"/>
                <w:lang w:val="en-US" w:eastAsia="zh-CN"/>
              </w:rPr>
              <w:t>-</w:t>
            </w:r>
            <w:r>
              <w:rPr>
                <w:lang w:val="en-US" w:eastAsia="zh-CN"/>
              </w:rPr>
              <w:t>20dBm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N</w:t>
            </w:r>
            <w:r>
              <w:rPr>
                <w:lang w:val="en-US"/>
              </w:rPr>
              <w:t>F for ATG BS</w:t>
            </w:r>
          </w:p>
        </w:tc>
        <w:tc>
          <w:tcPr>
            <w:tcW w:w="3245" w:type="dxa"/>
            <w:shd w:val="clear" w:color="auto" w:fill="auto"/>
          </w:tcPr>
          <w:p>
            <w:pPr>
              <w:rPr>
                <w:lang w:val="en-US"/>
              </w:rPr>
            </w:pPr>
            <w:r>
              <w:rPr>
                <w:rFonts w:hint="eastAsia"/>
                <w:lang w:val="en-US"/>
              </w:rPr>
              <w:t>5</w:t>
            </w:r>
            <w:r>
              <w:rPr>
                <w:lang w:val="en-US"/>
              </w:rPr>
              <w:t>dB</w:t>
            </w:r>
          </w:p>
        </w:tc>
        <w:tc>
          <w:tcPr>
            <w:tcW w:w="3275" w:type="dxa"/>
            <w:shd w:val="clear" w:color="auto" w:fill="auto"/>
          </w:tcPr>
          <w:p>
            <w:pPr>
              <w:rPr>
                <w:lang w:val="en-US"/>
              </w:rPr>
            </w:pPr>
            <w:r>
              <w:rPr>
                <w:rFonts w:hint="eastAsia"/>
                <w:lang w:val="en-US"/>
              </w:rPr>
              <w:t>5</w:t>
            </w:r>
            <w:r>
              <w:rPr>
                <w:lang w:val="en-US"/>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C</w:t>
            </w:r>
            <w:r>
              <w:rPr>
                <w:lang w:val="en-US"/>
              </w:rPr>
              <w:t>Lx_ile</w:t>
            </w:r>
          </w:p>
        </w:tc>
        <w:tc>
          <w:tcPr>
            <w:tcW w:w="3245" w:type="dxa"/>
            <w:shd w:val="clear" w:color="auto" w:fill="auto"/>
          </w:tcPr>
          <w:p>
            <w:pPr>
              <w:rPr>
                <w:lang w:val="en-US"/>
              </w:rPr>
            </w:pPr>
            <w:r>
              <w:rPr>
                <w:rFonts w:hint="eastAsia"/>
                <w:lang w:val="en-US"/>
              </w:rPr>
              <w:t>1</w:t>
            </w:r>
            <w:r>
              <w:rPr>
                <w:lang w:val="en-US"/>
              </w:rPr>
              <w:t>21dB</w:t>
            </w:r>
          </w:p>
        </w:tc>
        <w:tc>
          <w:tcPr>
            <w:tcW w:w="3275" w:type="dxa"/>
            <w:shd w:val="clear" w:color="auto" w:fill="auto"/>
          </w:tcPr>
          <w:p>
            <w:pPr>
              <w:rPr>
                <w:lang w:val="en-US"/>
              </w:rPr>
            </w:pPr>
            <w:r>
              <w:rPr>
                <w:lang w:val="en-US"/>
              </w:rPr>
              <w:t>97</w:t>
            </w:r>
          </w:p>
        </w:tc>
      </w:tr>
    </w:tbl>
    <w:p/>
    <w:p>
      <w:pPr>
        <w:pStyle w:val="5"/>
      </w:pPr>
      <w:bookmarkStart w:id="393" w:name="_Toc11944"/>
      <w:bookmarkStart w:id="394" w:name="_Toc133498142"/>
      <w:bookmarkStart w:id="395" w:name="_Toc21987"/>
      <w:bookmarkStart w:id="396" w:name="_Toc12229"/>
      <w:bookmarkStart w:id="397" w:name="_Toc3632"/>
      <w:bookmarkStart w:id="398" w:name="_Toc28637"/>
      <w:bookmarkStart w:id="399" w:name="_Toc29172"/>
      <w:bookmarkStart w:id="400" w:name="_Toc13285"/>
      <w:bookmarkStart w:id="401" w:name="_Toc18677"/>
      <w:bookmarkStart w:id="402" w:name="_Toc31917"/>
      <w:r>
        <w:rPr>
          <w:rFonts w:hint="eastAsia"/>
        </w:rPr>
        <w:t xml:space="preserve">6.2.6.4 </w:t>
      </w:r>
      <w:r>
        <w:t>ATG DL TPC</w:t>
      </w:r>
      <w:bookmarkEnd w:id="393"/>
      <w:bookmarkEnd w:id="394"/>
      <w:bookmarkEnd w:id="395"/>
      <w:bookmarkEnd w:id="396"/>
      <w:bookmarkEnd w:id="397"/>
      <w:bookmarkEnd w:id="398"/>
      <w:bookmarkEnd w:id="399"/>
      <w:bookmarkEnd w:id="400"/>
      <w:bookmarkEnd w:id="401"/>
      <w:bookmarkEnd w:id="402"/>
    </w:p>
    <w:p>
      <w:r>
        <w:rPr>
          <w:lang w:eastAsia="zh-CN"/>
        </w:rPr>
        <w:t>For downlink scenario, no power control scheme is applied.</w:t>
      </w:r>
    </w:p>
    <w:p>
      <w:pPr>
        <w:pStyle w:val="4"/>
        <w:rPr>
          <w:lang w:eastAsia="zh-CN"/>
        </w:rPr>
      </w:pPr>
      <w:bookmarkStart w:id="403" w:name="_Toc2577"/>
      <w:bookmarkStart w:id="404" w:name="_Toc133498143"/>
      <w:bookmarkStart w:id="405" w:name="_Toc5738"/>
      <w:bookmarkStart w:id="406" w:name="_Toc17483"/>
      <w:bookmarkStart w:id="407" w:name="_Toc10140"/>
      <w:bookmarkStart w:id="408" w:name="_Toc18379"/>
      <w:bookmarkStart w:id="409" w:name="_Toc233"/>
      <w:bookmarkStart w:id="410" w:name="_Toc30590"/>
      <w:bookmarkStart w:id="411" w:name="_Toc29806"/>
      <w:bookmarkStart w:id="412" w:name="_Toc23622"/>
      <w:r>
        <w:rPr>
          <w:rFonts w:hint="eastAsia"/>
          <w:lang w:eastAsia="zh-CN"/>
        </w:rPr>
        <w:t xml:space="preserve">6.2.7 </w:t>
      </w:r>
      <w:r>
        <w:rPr>
          <w:lang w:eastAsia="zh-CN"/>
        </w:rPr>
        <w:t>Received power model</w:t>
      </w:r>
      <w:bookmarkEnd w:id="403"/>
      <w:bookmarkEnd w:id="404"/>
      <w:bookmarkEnd w:id="405"/>
      <w:bookmarkEnd w:id="406"/>
      <w:bookmarkEnd w:id="407"/>
      <w:bookmarkEnd w:id="408"/>
      <w:bookmarkEnd w:id="409"/>
      <w:bookmarkEnd w:id="410"/>
      <w:bookmarkEnd w:id="411"/>
      <w:bookmarkEnd w:id="412"/>
    </w:p>
    <w:p>
      <w:pPr>
        <w:rPr>
          <w:rFonts w:eastAsia="MS Mincho"/>
          <w:lang w:eastAsia="ja-JP"/>
        </w:rPr>
      </w:pPr>
      <w:r>
        <w:rPr>
          <w:rFonts w:eastAsia="MS Mincho"/>
          <w:lang w:eastAsia="ja-JP"/>
        </w:rPr>
        <w:t>The received power in downlink and uplink scenarios is defined as below:</w:t>
      </w:r>
    </w:p>
    <w:p>
      <w:pPr>
        <w:pStyle w:val="58"/>
        <w:rPr>
          <w:rFonts w:eastAsia="MS Mincho"/>
          <w:lang w:eastAsia="ja-JP"/>
        </w:rPr>
      </w:pPr>
      <w:r>
        <w:rPr>
          <w:rFonts w:eastAsia="MS Mincho"/>
          <w:lang w:eastAsia="ja-JP"/>
        </w:rPr>
        <w:t>RX_PWR = TX_PWR – Path loss + G_TX + G_RX</w:t>
      </w:r>
    </w:p>
    <w:p>
      <w:pPr>
        <w:rPr>
          <w:rFonts w:eastAsia="MS Mincho"/>
          <w:lang w:eastAsia="ja-JP"/>
        </w:rPr>
      </w:pPr>
      <w:r>
        <w:rPr>
          <w:rFonts w:eastAsia="MS Mincho"/>
          <w:lang w:eastAsia="ja-JP"/>
        </w:rPr>
        <w:t>where:</w:t>
      </w:r>
    </w:p>
    <w:p>
      <w:pPr>
        <w:pStyle w:val="74"/>
        <w:rPr>
          <w:lang w:eastAsia="ja-JP"/>
        </w:rPr>
      </w:pPr>
      <w:r>
        <w:rPr>
          <w:lang w:eastAsia="ja-JP"/>
        </w:rPr>
        <w:t>-</w:t>
      </w:r>
      <w:r>
        <w:rPr>
          <w:lang w:eastAsia="ja-JP"/>
        </w:rPr>
        <w:tab/>
      </w:r>
      <w:r>
        <w:rPr>
          <w:lang w:eastAsia="ja-JP"/>
        </w:rPr>
        <w:t>RX_PWR is the received power</w:t>
      </w:r>
    </w:p>
    <w:p>
      <w:pPr>
        <w:pStyle w:val="74"/>
        <w:rPr>
          <w:lang w:eastAsia="ja-JP"/>
        </w:rPr>
      </w:pPr>
      <w:r>
        <w:rPr>
          <w:lang w:eastAsia="ja-JP"/>
        </w:rPr>
        <w:t>-</w:t>
      </w:r>
      <w:r>
        <w:rPr>
          <w:lang w:eastAsia="ja-JP"/>
        </w:rPr>
        <w:tab/>
      </w:r>
      <w:r>
        <w:rPr>
          <w:lang w:eastAsia="ja-JP"/>
        </w:rPr>
        <w:t>TX_PWR is the transmitted power</w:t>
      </w:r>
    </w:p>
    <w:p>
      <w:pPr>
        <w:pStyle w:val="74"/>
        <w:rPr>
          <w:lang w:eastAsia="ja-JP"/>
        </w:rPr>
      </w:pPr>
      <w:r>
        <w:rPr>
          <w:lang w:eastAsia="ja-JP"/>
        </w:rPr>
        <w:t>-</w:t>
      </w:r>
      <w:r>
        <w:rPr>
          <w:lang w:eastAsia="ja-JP"/>
        </w:rPr>
        <w:tab/>
      </w:r>
      <w:r>
        <w:rPr>
          <w:lang w:eastAsia="ja-JP"/>
        </w:rPr>
        <w:t>G_TX is the transmitter antenna gain (directional array gain)</w:t>
      </w:r>
    </w:p>
    <w:p>
      <w:pPr>
        <w:rPr>
          <w:lang w:eastAsia="zh-CN"/>
        </w:rPr>
      </w:pPr>
      <w:r>
        <w:rPr>
          <w:lang w:eastAsia="ja-JP"/>
        </w:rPr>
        <w:t>-</w:t>
      </w:r>
      <w:r>
        <w:rPr>
          <w:lang w:eastAsia="ja-JP"/>
        </w:rPr>
        <w:tab/>
      </w:r>
      <w:r>
        <w:rPr>
          <w:lang w:eastAsia="ja-JP"/>
        </w:rPr>
        <w:t>G_RX is the receiver antenna gain (directional array gain).</w:t>
      </w:r>
    </w:p>
    <w:p>
      <w:pPr>
        <w:pStyle w:val="4"/>
        <w:rPr>
          <w:lang w:eastAsia="zh-CN"/>
        </w:rPr>
      </w:pPr>
      <w:bookmarkStart w:id="413" w:name="_Toc9202"/>
      <w:bookmarkStart w:id="414" w:name="_Toc19791"/>
      <w:bookmarkStart w:id="415" w:name="_Toc24164"/>
      <w:bookmarkStart w:id="416" w:name="_Toc7337"/>
      <w:bookmarkStart w:id="417" w:name="_Toc133498144"/>
      <w:bookmarkStart w:id="418" w:name="_Toc7681"/>
      <w:bookmarkStart w:id="419" w:name="_Toc32223"/>
      <w:bookmarkStart w:id="420" w:name="_Toc30021"/>
      <w:bookmarkStart w:id="421" w:name="_Toc20322"/>
      <w:bookmarkStart w:id="422" w:name="_Toc21152"/>
      <w:r>
        <w:rPr>
          <w:rFonts w:hint="eastAsia"/>
          <w:lang w:eastAsia="zh-CN"/>
        </w:rPr>
        <w:t xml:space="preserve">6.2.8 </w:t>
      </w:r>
      <w:r>
        <w:rPr>
          <w:lang w:eastAsia="zh-CN"/>
        </w:rPr>
        <w:t>Performance metric</w:t>
      </w:r>
      <w:bookmarkEnd w:id="413"/>
      <w:bookmarkEnd w:id="414"/>
      <w:bookmarkEnd w:id="415"/>
      <w:bookmarkEnd w:id="416"/>
      <w:bookmarkEnd w:id="417"/>
      <w:bookmarkEnd w:id="418"/>
      <w:bookmarkEnd w:id="419"/>
      <w:bookmarkEnd w:id="420"/>
      <w:bookmarkEnd w:id="421"/>
      <w:bookmarkEnd w:id="422"/>
    </w:p>
    <w:p>
      <w:pPr>
        <w:rPr>
          <w:bCs/>
          <w:lang w:eastAsia="zh-CN"/>
        </w:rPr>
      </w:pPr>
      <w:r>
        <w:rPr>
          <w:bCs/>
          <w:lang w:eastAsia="zh-CN"/>
        </w:rPr>
        <w:t>For NR, the average throughput loss and 5%-ile throughput loss should be less than 5%.</w:t>
      </w:r>
    </w:p>
    <w:p>
      <w:pPr>
        <w:rPr>
          <w:bCs/>
          <w:lang w:eastAsia="zh-CN"/>
        </w:rPr>
      </w:pPr>
      <w:r>
        <w:rPr>
          <w:bCs/>
          <w:lang w:eastAsia="zh-CN"/>
        </w:rPr>
        <w:t>For ATG, the average throughput loss and 5%-ile throughput loss should be less than 5%.</w:t>
      </w:r>
    </w:p>
    <w:p>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pPr>
        <w:pStyle w:val="74"/>
        <w:numPr>
          <w:ilvl w:val="0"/>
          <w:numId w:val="6"/>
        </w:numPr>
        <w:ind w:left="420" w:hanging="420"/>
        <w:rPr>
          <w:sz w:val="24"/>
          <w:lang w:eastAsia="en-US"/>
        </w:rPr>
      </w:pPr>
      <w:r>
        <w:rPr>
          <w:rFonts w:eastAsia="Yu Mincho"/>
          <w:lang w:eastAsia="en-US" w:bidi="ar"/>
        </w:rPr>
        <w:t xml:space="preserve">5% and </w:t>
      </w:r>
      <w:r>
        <w:rPr>
          <w:rFonts w:hint="eastAsia" w:eastAsia="宋体"/>
          <w:lang w:val="en-US" w:eastAsia="zh-CN" w:bidi="ar"/>
        </w:rPr>
        <w:t>average</w:t>
      </w:r>
      <w:r>
        <w:rPr>
          <w:rFonts w:eastAsia="Yu Mincho"/>
          <w:lang w:eastAsia="en-US" w:bidi="ar"/>
        </w:rPr>
        <w:t xml:space="preserve"> in the whole network (When TN </w:t>
      </w:r>
      <w:r>
        <w:rPr>
          <w:rFonts w:hint="eastAsia" w:eastAsia="宋体"/>
          <w:lang w:val="en-US" w:eastAsia="zh-CN" w:bidi="ar"/>
        </w:rPr>
        <w:t xml:space="preserve">UL </w:t>
      </w:r>
      <w:r>
        <w:rPr>
          <w:rFonts w:eastAsia="Yu Mincho"/>
          <w:lang w:eastAsia="en-US" w:bidi="ar"/>
        </w:rPr>
        <w:t xml:space="preserve">as victim, 5% and </w:t>
      </w:r>
      <w:r>
        <w:rPr>
          <w:rFonts w:hint="eastAsia" w:eastAsia="宋体"/>
          <w:lang w:val="en-US" w:eastAsia="zh-CN" w:bidi="ar"/>
        </w:rPr>
        <w:t>average</w:t>
      </w:r>
      <w:r>
        <w:rPr>
          <w:rFonts w:eastAsia="Yu Mincho"/>
          <w:lang w:eastAsia="en-US" w:bidi="ar"/>
        </w:rPr>
        <w:t xml:space="preserve"> are 5% a</w:t>
      </w:r>
      <w:r>
        <w:rPr>
          <w:rFonts w:hint="eastAsia" w:eastAsia="宋体"/>
          <w:lang w:val="en-US" w:eastAsia="zh-CN" w:bidi="ar"/>
        </w:rPr>
        <w:t>n</w:t>
      </w:r>
      <w:r>
        <w:rPr>
          <w:rFonts w:eastAsia="Yu Mincho"/>
          <w:lang w:eastAsia="en-US" w:bidi="ar"/>
        </w:rPr>
        <w:t xml:space="preserve">d </w:t>
      </w:r>
      <w:r>
        <w:rPr>
          <w:rFonts w:hint="eastAsia" w:eastAsia="宋体"/>
          <w:lang w:val="en-US" w:eastAsia="zh-CN" w:bidi="ar"/>
        </w:rPr>
        <w:t>average</w:t>
      </w:r>
      <w:r>
        <w:rPr>
          <w:rFonts w:eastAsia="Yu Mincho"/>
          <w:lang w:eastAsia="en-US" w:bidi="ar"/>
        </w:rPr>
        <w:t xml:space="preserve"> of the whole TN</w:t>
      </w:r>
      <w:r>
        <w:rPr>
          <w:rFonts w:hint="eastAsia" w:eastAsia="宋体"/>
          <w:lang w:val="en-US" w:eastAsia="zh-CN" w:bidi="ar"/>
        </w:rPr>
        <w:t xml:space="preserve"> UL</w:t>
      </w:r>
      <w:r>
        <w:rPr>
          <w:rFonts w:eastAsia="Yu Mincho"/>
          <w:lang w:eastAsia="en-US" w:bidi="ar"/>
        </w:rPr>
        <w:t xml:space="preserve">. When ATG as victim, 5% and </w:t>
      </w:r>
      <w:r>
        <w:rPr>
          <w:rFonts w:hint="eastAsia" w:eastAsia="宋体"/>
          <w:lang w:val="en-US" w:eastAsia="zh-CN" w:bidi="ar"/>
        </w:rPr>
        <w:t>average</w:t>
      </w:r>
      <w:r>
        <w:rPr>
          <w:rFonts w:eastAsia="Yu Mincho"/>
          <w:lang w:eastAsia="en-US" w:bidi="ar"/>
        </w:rPr>
        <w:t xml:space="preserve"> are the 5% and </w:t>
      </w:r>
      <w:r>
        <w:rPr>
          <w:rFonts w:hint="eastAsia" w:eastAsia="宋体"/>
          <w:lang w:val="en-US" w:eastAsia="zh-CN" w:bidi="ar"/>
        </w:rPr>
        <w:t>average</w:t>
      </w:r>
      <w:r>
        <w:rPr>
          <w:rFonts w:eastAsia="Yu Mincho"/>
          <w:lang w:eastAsia="en-US" w:bidi="ar"/>
        </w:rPr>
        <w:t xml:space="preserve"> among all drops.)</w:t>
      </w:r>
    </w:p>
    <w:p>
      <w:pPr>
        <w:pStyle w:val="74"/>
        <w:numPr>
          <w:ilvl w:val="0"/>
          <w:numId w:val="6"/>
        </w:numPr>
        <w:ind w:left="420" w:hanging="420"/>
        <w:rPr>
          <w:sz w:val="24"/>
          <w:lang w:eastAsia="en-US"/>
        </w:rPr>
      </w:pPr>
      <w:r>
        <w:rPr>
          <w:rFonts w:eastAsia="Yu Mincho"/>
          <w:lang w:eastAsia="en-US" w:bidi="ar"/>
        </w:rPr>
        <w:t xml:space="preserve">5% and </w:t>
      </w:r>
      <w:r>
        <w:rPr>
          <w:rFonts w:hint="eastAsia" w:eastAsia="宋体"/>
          <w:lang w:val="en-US" w:eastAsia="zh-CN" w:bidi="ar"/>
        </w:rPr>
        <w:t>average</w:t>
      </w:r>
      <w:r>
        <w:rPr>
          <w:rFonts w:eastAsia="Yu Mincho"/>
          <w:lang w:eastAsia="en-US" w:bidi="ar"/>
        </w:rPr>
        <w:t xml:space="preserve"> of users within the cell with largest throughput loss for the case of TN DL victim</w:t>
      </w:r>
    </w:p>
    <w:p>
      <w:pPr>
        <w:rPr>
          <w:rFonts w:hint="default"/>
          <w:lang w:val="en-US" w:eastAsia="zh-CN"/>
        </w:rPr>
      </w:pPr>
      <w:r>
        <w:rPr>
          <w:rFonts w:hint="eastAsia"/>
          <w:lang w:val="en-US" w:eastAsia="zh-CN"/>
        </w:rPr>
        <w:t>For non-synchronized scenario, compared wit</w:t>
      </w:r>
      <w:r>
        <w:rPr>
          <w:rFonts w:hint="eastAsia"/>
          <w:color w:val="auto"/>
          <w:lang w:val="en-US" w:eastAsia="zh-CN"/>
        </w:rPr>
        <w:t xml:space="preserve">h ATG UE-to-TN UE CLI, </w:t>
      </w:r>
      <w:r>
        <w:rPr>
          <w:rFonts w:hint="default" w:ascii="Times New Roman" w:hAnsi="Times New Roman" w:eastAsia="宋体" w:cs="Times New Roman"/>
          <w:color w:val="auto"/>
          <w:sz w:val="20"/>
          <w:szCs w:val="24"/>
          <w:lang w:val="en-US" w:eastAsia="zh-CN" w:bidi="ar"/>
        </w:rPr>
        <w:t>ATG BS</w:t>
      </w:r>
      <w:r>
        <w:rPr>
          <w:rFonts w:hint="eastAsia" w:ascii="Times New Roman" w:hAnsi="Times New Roman" w:eastAsia="宋体" w:cs="Times New Roman"/>
          <w:color w:val="auto"/>
          <w:sz w:val="20"/>
          <w:szCs w:val="24"/>
          <w:lang w:val="en-US" w:eastAsia="zh-CN" w:bidi="ar"/>
        </w:rPr>
        <w:t>-to-</w:t>
      </w:r>
      <w:r>
        <w:rPr>
          <w:rFonts w:hint="default" w:ascii="Times New Roman" w:hAnsi="Times New Roman" w:eastAsia="宋体" w:cs="Times New Roman"/>
          <w:color w:val="auto"/>
          <w:sz w:val="20"/>
          <w:szCs w:val="24"/>
          <w:lang w:val="en-US" w:eastAsia="zh-CN" w:bidi="ar"/>
        </w:rPr>
        <w:t>TN BS CLI is the dominate interference</w:t>
      </w:r>
      <w:r>
        <w:rPr>
          <w:rFonts w:hint="eastAsia" w:ascii="Times New Roman" w:hAnsi="Times New Roman" w:eastAsia="宋体" w:cs="Times New Roman"/>
          <w:color w:val="auto"/>
          <w:sz w:val="20"/>
          <w:szCs w:val="24"/>
          <w:lang w:val="en-US" w:eastAsia="zh-CN" w:bidi="ar"/>
        </w:rPr>
        <w:t>. So we only consider ATG BS-to-TN BS CLI simulation and detailed performance metric is as below:</w:t>
      </w:r>
      <w:r>
        <w:rPr>
          <w:rFonts w:hint="eastAsia"/>
          <w:color w:val="auto"/>
          <w:lang w:val="en-US" w:eastAsia="zh-CN"/>
        </w:rPr>
        <w:t xml:space="preserve"> </w:t>
      </w:r>
    </w:p>
    <w:p>
      <w:pPr>
        <w:numPr>
          <w:ilvl w:val="0"/>
          <w:numId w:val="7"/>
        </w:numPr>
        <w:ind w:left="420" w:hanging="420"/>
        <w:rPr>
          <w:rFonts w:hint="eastAsia"/>
          <w:lang w:val="en-US" w:eastAsia="zh-CN"/>
        </w:rPr>
      </w:pPr>
      <w:r>
        <w:rPr>
          <w:rFonts w:hint="eastAsia"/>
          <w:lang w:val="en-US" w:eastAsia="zh-CN"/>
        </w:rPr>
        <w:t>When TN gNB as victim, only focus on the TN sector with worst throughput loss, 5% and mean among all drops</w:t>
      </w:r>
    </w:p>
    <w:p>
      <w:pPr>
        <w:numPr>
          <w:ilvl w:val="0"/>
          <w:numId w:val="7"/>
        </w:numPr>
        <w:ind w:left="420" w:hanging="420"/>
        <w:rPr>
          <w:rFonts w:hint="eastAsia"/>
          <w:lang w:val="en-US" w:eastAsia="zh-CN"/>
        </w:rPr>
      </w:pPr>
      <w:r>
        <w:rPr>
          <w:rFonts w:hint="eastAsia"/>
          <w:lang w:val="en-US" w:eastAsia="zh-CN"/>
        </w:rPr>
        <w:t>When ATG gNB as victim, 5% and mean among all drops.</w:t>
      </w:r>
    </w:p>
    <w:p>
      <w:pPr>
        <w:rPr>
          <w:lang w:eastAsia="zh-CN"/>
        </w:rPr>
      </w:pPr>
    </w:p>
    <w:p>
      <w:pPr>
        <w:pStyle w:val="4"/>
        <w:rPr>
          <w:lang w:eastAsia="zh-CN"/>
        </w:rPr>
      </w:pPr>
      <w:bookmarkStart w:id="423" w:name="_Toc133498145"/>
      <w:bookmarkStart w:id="424" w:name="_Toc5109"/>
      <w:bookmarkStart w:id="425" w:name="_Toc9615"/>
      <w:bookmarkStart w:id="426" w:name="_Toc5898"/>
      <w:bookmarkStart w:id="427" w:name="_Toc10249"/>
      <w:bookmarkStart w:id="428" w:name="_Toc31118"/>
      <w:bookmarkStart w:id="429" w:name="_Toc23596"/>
      <w:bookmarkStart w:id="430" w:name="_Toc13160"/>
      <w:bookmarkStart w:id="431" w:name="_Toc25181"/>
      <w:bookmarkStart w:id="432" w:name="_Toc23824"/>
      <w:r>
        <w:rPr>
          <w:rFonts w:hint="eastAsia"/>
          <w:lang w:eastAsia="zh-CN"/>
        </w:rPr>
        <w:t xml:space="preserve">6.2.9 </w:t>
      </w:r>
      <w:r>
        <w:rPr>
          <w:lang w:eastAsia="zh-CN"/>
        </w:rPr>
        <w:t>Link level performance for NR ATG coexistence</w:t>
      </w:r>
      <w:bookmarkEnd w:id="423"/>
      <w:bookmarkEnd w:id="424"/>
      <w:bookmarkEnd w:id="425"/>
      <w:bookmarkEnd w:id="426"/>
      <w:bookmarkEnd w:id="427"/>
      <w:bookmarkEnd w:id="428"/>
      <w:bookmarkEnd w:id="429"/>
      <w:bookmarkEnd w:id="430"/>
      <w:bookmarkEnd w:id="431"/>
      <w:bookmarkEnd w:id="432"/>
    </w:p>
    <w:p>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pPr>
        <w:pStyle w:val="58"/>
      </w:pPr>
      <w:r>
        <w:rPr>
          <w:rFonts w:eastAsia="MS Mincho"/>
        </w:rPr>
        <w:tab/>
      </w:r>
      <w:r>
        <w:fldChar w:fldCharType="begin"/>
      </w:r>
      <w:r>
        <w:instrText xml:space="preserve"> QUOTE </w:instrText>
      </w:r>
      <w:r>
        <w:rPr>
          <w:position w:val="-32"/>
        </w:rPr>
        <w:pict>
          <v:shape id="_x0000_i1089" o:spt="75" type="#_x0000_t75" style="height:35.5pt;width:4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138" chromakey="#FFFFFF" o:title=""/>
            <o:lock v:ext="edit" aspectratio="t"/>
            <w10:wrap type="none"/>
            <w10:anchorlock/>
          </v:shape>
        </w:pict>
      </w:r>
      <w:r>
        <w:instrText xml:space="preserve"> </w:instrText>
      </w:r>
      <w:r>
        <w:fldChar w:fldCharType="end"/>
      </w:r>
      <m:oMath>
        <m:r>
          <m:rPr/>
          <w:rPr>
            <w:rFonts w:ascii="Cambria Math" w:hAnsi="Cambria Math"/>
            <w:szCs w:val="22"/>
          </w:rPr>
          <m:t xml:space="preserve"> Tℎrougℎput </m:t>
        </m:r>
        <m:d>
          <m:dPr>
            <m:ctrlPr>
              <w:rPr>
                <w:rFonts w:ascii="Cambria Math" w:hAnsi="Cambria Math" w:cs="宋体"/>
                <w:i/>
                <w:sz w:val="24"/>
                <w:szCs w:val="22"/>
              </w:rPr>
            </m:ctrlPr>
          </m:dPr>
          <m:e>
            <m:r>
              <m:rPr/>
              <w:rPr>
                <w:rFonts w:ascii="Cambria Math" w:hAnsi="Cambria Math"/>
                <w:szCs w:val="22"/>
              </w:rPr>
              <m:t>SNIR</m:t>
            </m:r>
            <m:ctrlPr>
              <w:rPr>
                <w:rFonts w:ascii="Cambria Math" w:hAnsi="Cambria Math" w:cs="宋体"/>
                <w:i/>
                <w:sz w:val="24"/>
                <w:szCs w:val="22"/>
              </w:rPr>
            </m:ctrlPr>
          </m:e>
        </m:d>
        <m:r>
          <m:rP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宋体"/>
                <w:sz w:val="24"/>
                <w:szCs w:val="22"/>
              </w:rPr>
            </m:ctrlPr>
          </m:dPr>
          <m:e>
            <m:eqArr>
              <m:eqArrPr>
                <m:ctrlPr>
                  <w:rPr>
                    <w:rFonts w:ascii="Cambria Math" w:hAnsi="Cambria Math" w:cs="宋体"/>
                    <w:i/>
                    <w:sz w:val="24"/>
                    <w:szCs w:val="22"/>
                  </w:rPr>
                </m:ctrlPr>
              </m:eqArrPr>
              <m:e>
                <m:r>
                  <m:rPr/>
                  <w:rPr>
                    <w:rFonts w:ascii="Cambria Math" w:hAnsi="Cambria Math"/>
                    <w:szCs w:val="22"/>
                  </w:rPr>
                  <m:t>0                                  for SNIR&lt;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MIN</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cs="宋体"/>
                    <w:i/>
                    <w:sz w:val="24"/>
                    <w:szCs w:val="22"/>
                  </w:rPr>
                </m:ctrlPr>
              </m:e>
              <m:e>
                <m:r>
                  <m:rPr/>
                  <w:rPr>
                    <w:rFonts w:ascii="Cambria Math" w:hAnsi="Cambria Math"/>
                    <w:szCs w:val="22"/>
                  </w:rPr>
                  <m:t>∝∙S</m:t>
                </m:r>
                <m:d>
                  <m:dPr>
                    <m:ctrlPr>
                      <w:rPr>
                        <w:rFonts w:ascii="Cambria Math" w:hAnsi="Cambria Math" w:cs="宋体"/>
                        <w:i/>
                        <w:sz w:val="24"/>
                        <w:szCs w:val="22"/>
                      </w:rPr>
                    </m:ctrlPr>
                  </m:dPr>
                  <m:e>
                    <m:r>
                      <m:rPr/>
                      <w:rPr>
                        <w:rFonts w:ascii="Cambria Math" w:hAnsi="Cambria Math"/>
                        <w:szCs w:val="22"/>
                      </w:rPr>
                      <m:t>SNIR</m:t>
                    </m:r>
                    <m:ctrlPr>
                      <w:rPr>
                        <w:rFonts w:ascii="Cambria Math" w:hAnsi="Cambria Math" w:cs="宋体"/>
                        <w:i/>
                        <w:sz w:val="24"/>
                        <w:szCs w:val="22"/>
                      </w:rPr>
                    </m:ctrlPr>
                  </m:e>
                </m:d>
                <m:r>
                  <m:rPr/>
                  <w:rPr>
                    <w:rFonts w:ascii="Cambria Math" w:hAnsi="Cambria Math"/>
                    <w:szCs w:val="22"/>
                  </w:rPr>
                  <m:t xml:space="preserve">                     for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MIN</m:t>
                    </m:r>
                    <m:ctrlPr>
                      <w:rPr>
                        <w:rFonts w:ascii="Cambria Math" w:hAnsi="Cambria Math" w:cs="宋体"/>
                        <w:i/>
                        <w:sz w:val="24"/>
                        <w:szCs w:val="22"/>
                      </w:rPr>
                    </m:ctrlPr>
                  </m:sub>
                </m:sSub>
                <m:r>
                  <m:rPr/>
                  <w:rPr>
                    <w:rFonts w:ascii="Cambria Math" w:hAnsi="Cambria Math"/>
                    <w:szCs w:val="22"/>
                  </w:rPr>
                  <m:t>≤SNIR&lt;SNI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eastAsia="Cambria Math" w:cs="Cambria Math"/>
                    <w:i/>
                    <w:sz w:val="24"/>
                    <w:szCs w:val="24"/>
                  </w:rPr>
                </m:ctrlPr>
              </m:e>
              <m:e>
                <m:r>
                  <m:rPr/>
                  <w:rPr>
                    <w:rFonts w:ascii="Cambria Math" w:hAnsi="Cambria Math"/>
                    <w:szCs w:val="22"/>
                  </w:rPr>
                  <m:t>∝∙S</m:t>
                </m:r>
                <m:d>
                  <m:dPr>
                    <m:ctrlPr>
                      <w:rPr>
                        <w:rFonts w:ascii="Cambria Math" w:hAnsi="Cambria Math" w:cs="宋体"/>
                        <w:i/>
                        <w:sz w:val="24"/>
                        <w:szCs w:val="22"/>
                      </w:rPr>
                    </m:ctrlPr>
                  </m:dPr>
                  <m:e>
                    <m:r>
                      <m:rPr/>
                      <w:rPr>
                        <w:rFonts w:ascii="Cambria Math" w:hAnsi="Cambria Math"/>
                        <w:szCs w:val="22"/>
                      </w:rPr>
                      <m:t>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ctrlPr>
                      <w:rPr>
                        <w:rFonts w:ascii="Cambria Math" w:hAnsi="Cambria Math" w:cs="宋体"/>
                        <w:i/>
                        <w:sz w:val="24"/>
                        <w:szCs w:val="22"/>
                      </w:rPr>
                    </m:ctrlPr>
                  </m:e>
                </m:d>
                <m:r>
                  <m:rPr/>
                  <w:rPr>
                    <w:rFonts w:ascii="Cambria Math" w:hAnsi="Cambria Math"/>
                    <w:szCs w:val="22"/>
                  </w:rPr>
                  <m:t xml:space="preserve">               for SNIR ≥ SNI</m:t>
                </m:r>
                <m:sSub>
                  <m:sSubPr>
                    <m:ctrlPr>
                      <w:rPr>
                        <w:rFonts w:ascii="Cambria Math" w:hAnsi="Cambria Math" w:cs="宋体"/>
                        <w:i/>
                        <w:sz w:val="24"/>
                        <w:szCs w:val="22"/>
                      </w:rPr>
                    </m:ctrlPr>
                  </m:sSubPr>
                  <m:e>
                    <m:r>
                      <m:rPr/>
                      <w:rPr>
                        <w:rFonts w:ascii="Cambria Math" w:hAnsi="Cambria Math"/>
                        <w:szCs w:val="22"/>
                      </w:rPr>
                      <m:t>R</m:t>
                    </m:r>
                    <m:ctrlPr>
                      <w:rPr>
                        <w:rFonts w:ascii="Cambria Math" w:hAnsi="Cambria Math" w:cs="宋体"/>
                        <w:i/>
                        <w:sz w:val="24"/>
                        <w:szCs w:val="22"/>
                      </w:rPr>
                    </m:ctrlPr>
                  </m:e>
                  <m:sub>
                    <m:r>
                      <m:rPr/>
                      <w:rPr>
                        <w:rFonts w:ascii="Cambria Math" w:hAnsi="Cambria Math"/>
                        <w:szCs w:val="22"/>
                      </w:rPr>
                      <m:t>MAX</m:t>
                    </m:r>
                    <m:ctrlPr>
                      <w:rPr>
                        <w:rFonts w:ascii="Cambria Math" w:hAnsi="Cambria Math" w:cs="宋体"/>
                        <w:i/>
                        <w:sz w:val="24"/>
                        <w:szCs w:val="22"/>
                      </w:rPr>
                    </m:ctrlPr>
                  </m:sub>
                </m:sSub>
                <m:r>
                  <m:rPr/>
                  <w:rPr>
                    <w:rFonts w:ascii="Cambria Math" w:hAnsi="Cambria Math"/>
                    <w:szCs w:val="22"/>
                  </w:rPr>
                  <m:t xml:space="preserve">                        </m:t>
                </m:r>
                <m:ctrlPr>
                  <w:rPr>
                    <w:rFonts w:ascii="Cambria Math" w:hAnsi="Cambria Math" w:cs="宋体"/>
                    <w:i/>
                    <w:sz w:val="24"/>
                    <w:szCs w:val="22"/>
                  </w:rPr>
                </m:ctrlPr>
              </m:e>
            </m:eqArr>
            <m:ctrlPr>
              <w:rPr>
                <w:rFonts w:ascii="Cambria Math" w:hAnsi="Cambria Math" w:cs="宋体"/>
                <w:sz w:val="24"/>
                <w:szCs w:val="22"/>
              </w:rPr>
            </m:ctrlPr>
          </m:e>
        </m:d>
      </m:oMath>
    </w:p>
    <w:p>
      <w:pPr>
        <w:rPr>
          <w:rFonts w:eastAsia="MS Mincho"/>
        </w:rPr>
      </w:pPr>
      <w:r>
        <w:rPr>
          <w:rFonts w:eastAsia="MS Mincho"/>
        </w:rPr>
        <w:t>Where:</w:t>
      </w:r>
      <w:r>
        <w:rPr>
          <w:rFonts w:eastAsia="MS Mincho"/>
        </w:rPr>
        <w:tab/>
      </w:r>
    </w:p>
    <w:p>
      <w:pPr>
        <w:pStyle w:val="74"/>
      </w:pPr>
      <w:r>
        <w:t>-</w:t>
      </w:r>
      <w:r>
        <w:tab/>
      </w:r>
      <w:r>
        <w:t>S(SNIR)</w:t>
      </w:r>
      <w:r>
        <w:tab/>
      </w:r>
      <w:r>
        <w:tab/>
      </w:r>
      <w:r>
        <w:t>Shannon bound, S(SNIR) =log</w:t>
      </w:r>
      <w:r>
        <w:rPr>
          <w:vertAlign w:val="subscript"/>
        </w:rPr>
        <w:t>2</w:t>
      </w:r>
      <w:r>
        <w:t>(1+SNIR) bps/Hz</w:t>
      </w:r>
    </w:p>
    <w:p>
      <w:pPr>
        <w:pStyle w:val="74"/>
      </w:pPr>
      <w:r>
        <w:t>-</w:t>
      </w:r>
      <w:r>
        <w:tab/>
      </w:r>
      <w:r>
        <w:rPr/>
        <w:sym w:font="Symbol" w:char="F061"/>
      </w:r>
      <w:r>
        <w:tab/>
      </w:r>
      <w:r>
        <w:tab/>
      </w:r>
      <w:r>
        <w:tab/>
      </w:r>
      <w:r>
        <w:tab/>
      </w:r>
      <w:r>
        <w:t>Attenuation factor, representing implementation losses</w:t>
      </w:r>
    </w:p>
    <w:p>
      <w:pPr>
        <w:pStyle w:val="74"/>
      </w:pPr>
      <w:r>
        <w:t>-</w:t>
      </w:r>
      <w:r>
        <w:tab/>
      </w:r>
      <w:r>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pPr>
        <w:pStyle w:val="74"/>
      </w:pPr>
      <w:r>
        <w:t>-</w:t>
      </w:r>
      <w:r>
        <w:tab/>
      </w:r>
      <w:r>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pPr>
        <w:pStyle w:val="74"/>
        <w:rPr>
          <w:lang w:eastAsia="ja-JP"/>
        </w:rPr>
      </w:pPr>
      <w:r>
        <w:rPr>
          <w:lang w:eastAsia="ja-JP"/>
        </w:rPr>
        <w:t>-</w:t>
      </w:r>
      <w:r>
        <w:rPr>
          <w:lang w:eastAsia="ja-JP"/>
        </w:rPr>
        <w:tab/>
      </w:r>
      <w:r>
        <w:rPr>
          <w:lang w:eastAsia="ja-JP"/>
        </w:rPr>
        <w:t>1:1 antenna configuration</w:t>
      </w:r>
    </w:p>
    <w:p>
      <w:pPr>
        <w:pStyle w:val="74"/>
        <w:rPr>
          <w:lang w:eastAsia="ja-JP"/>
        </w:rPr>
      </w:pPr>
      <w:r>
        <w:rPr>
          <w:lang w:eastAsia="ja-JP"/>
        </w:rPr>
        <w:t>-</w:t>
      </w:r>
      <w:r>
        <w:rPr>
          <w:lang w:eastAsia="ja-JP"/>
        </w:rPr>
        <w:tab/>
      </w:r>
      <w:r>
        <w:rPr>
          <w:lang w:eastAsia="ja-JP"/>
        </w:rPr>
        <w:t>AWGN channel model</w:t>
      </w:r>
    </w:p>
    <w:p>
      <w:pPr>
        <w:pStyle w:val="74"/>
        <w:rPr>
          <w:lang w:eastAsia="ja-JP"/>
        </w:rPr>
      </w:pPr>
      <w:r>
        <w:rPr>
          <w:lang w:eastAsia="ja-JP"/>
        </w:rPr>
        <w:t>-</w:t>
      </w:r>
      <w:r>
        <w:rPr>
          <w:lang w:eastAsia="ja-JP"/>
        </w:rPr>
        <w:tab/>
      </w:r>
      <w:r>
        <w:rPr>
          <w:lang w:eastAsia="ja-JP"/>
        </w:rPr>
        <w:t>Link Adaptation (see Table 4.2.7-1 for details of the highest and lowest rate codes)</w:t>
      </w:r>
    </w:p>
    <w:p>
      <w:pPr>
        <w:pStyle w:val="74"/>
        <w:rPr>
          <w:lang w:eastAsia="ja-JP"/>
        </w:rPr>
      </w:pPr>
      <w:r>
        <w:rPr>
          <w:lang w:eastAsia="ja-JP"/>
        </w:rPr>
        <w:t>-</w:t>
      </w:r>
      <w:r>
        <w:rPr>
          <w:lang w:eastAsia="ja-JP"/>
        </w:rPr>
        <w:tab/>
      </w:r>
      <w:r>
        <w:rPr>
          <w:lang w:eastAsia="ja-JP"/>
        </w:rPr>
        <w:t>No HARQ</w:t>
      </w:r>
    </w:p>
    <w:p>
      <w:pPr>
        <w:pStyle w:val="76"/>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Style w:val="49"/>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11"/>
        <w:gridCol w:w="477"/>
        <w:gridCol w:w="477"/>
        <w:gridCol w:w="4118"/>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7"/>
              <w:rPr>
                <w:lang w:val="en-US"/>
              </w:rPr>
            </w:pPr>
            <w:r>
              <w:t xml:space="preserve">Parameter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pPr>
            <w:r>
              <w:t xml:space="preserve">DL </w:t>
            </w:r>
          </w:p>
        </w:tc>
        <w:tc>
          <w:tcPr>
            <w:tcW w:w="0" w:type="auto"/>
            <w:tcBorders>
              <w:top w:val="single" w:color="auto" w:sz="8" w:space="0"/>
              <w:left w:val="single" w:color="auto" w:sz="8" w:space="0"/>
              <w:bottom w:val="single" w:color="auto" w:sz="8" w:space="0"/>
              <w:right w:val="single" w:color="auto" w:sz="8" w:space="0"/>
            </w:tcBorders>
            <w:vAlign w:val="bottom"/>
          </w:tcPr>
          <w:p>
            <w:pPr>
              <w:pStyle w:val="67"/>
            </w:pPr>
            <w:r>
              <w:t xml:space="preserve">UL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7"/>
            </w:pPr>
            <w:r>
              <w:t xml:space="preserve">Notes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0"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α, attenuation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0.6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0.4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Represents implementation losses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-10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Based on QPSK, 1/8 rate (DL) &amp; 1/5 rate (UL) </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3" w:hRule="atLeast"/>
          <w:jc w:val="center"/>
        </w:trPr>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30 </w:t>
            </w:r>
          </w:p>
        </w:tc>
        <w:tc>
          <w:tcPr>
            <w:tcW w:w="0" w:type="auto"/>
            <w:tcBorders>
              <w:top w:val="single" w:color="auto" w:sz="8" w:space="0"/>
              <w:left w:val="single" w:color="auto" w:sz="8" w:space="0"/>
              <w:bottom w:val="single" w:color="auto" w:sz="8" w:space="0"/>
              <w:right w:val="single" w:color="auto" w:sz="8" w:space="0"/>
            </w:tcBorders>
            <w:vAlign w:val="bottom"/>
          </w:tcPr>
          <w:p>
            <w:pPr>
              <w:pStyle w:val="68"/>
              <w:rPr>
                <w:rFonts w:eastAsia="MS Mincho"/>
              </w:rPr>
            </w:pPr>
            <w:r>
              <w:rPr>
                <w:rFonts w:eastAsia="MS Mincho"/>
              </w:rPr>
              <w:t xml:space="preserve">22 </w:t>
            </w:r>
          </w:p>
        </w:tc>
        <w:tc>
          <w:tcPr>
            <w:tcW w:w="0" w:type="auto"/>
            <w:tcBorders>
              <w:top w:val="single" w:color="auto" w:sz="8" w:space="0"/>
              <w:left w:val="single" w:color="auto" w:sz="8" w:space="0"/>
              <w:bottom w:val="single" w:color="auto" w:sz="8" w:space="0"/>
              <w:right w:val="single" w:color="auto" w:sz="8" w:space="0"/>
            </w:tcBorders>
            <w:noWrap/>
            <w:vAlign w:val="bottom"/>
          </w:tcPr>
          <w:p>
            <w:pPr>
              <w:pStyle w:val="68"/>
              <w:rPr>
                <w:rFonts w:eastAsia="MS Mincho"/>
              </w:rPr>
            </w:pPr>
            <w:r>
              <w:rPr>
                <w:rFonts w:eastAsia="MS Mincho"/>
              </w:rPr>
              <w:t xml:space="preserve">Based on 256QAM 0.93(DL) &amp; 64QAM 0.93 (UL) </w:t>
            </w:r>
          </w:p>
        </w:tc>
      </w:tr>
    </w:tbl>
    <w:p>
      <w:pPr>
        <w:rPr>
          <w:rFonts w:eastAsia="MS Mincho"/>
        </w:rPr>
      </w:pPr>
    </w:p>
    <w:p>
      <w:pPr>
        <w:rPr>
          <w:lang w:eastAsia="zh-CN"/>
        </w:rPr>
      </w:pPr>
      <w:r>
        <w:rPr>
          <w:rFonts w:eastAsia="MS Mincho"/>
        </w:rPr>
        <w:t>Note that the parameters proposed in Table 4.2.7-1 are targeted for eMBB coexistence scenario.</w:t>
      </w:r>
    </w:p>
    <w:p>
      <w:pPr>
        <w:pStyle w:val="3"/>
        <w:rPr>
          <w:lang w:eastAsia="zh-CN"/>
        </w:rPr>
      </w:pPr>
      <w:bookmarkStart w:id="433" w:name="_Toc6254"/>
      <w:bookmarkStart w:id="434" w:name="_Toc28280"/>
      <w:bookmarkStart w:id="435" w:name="_Toc133498146"/>
      <w:bookmarkStart w:id="436" w:name="_Toc4021"/>
      <w:bookmarkStart w:id="437" w:name="_Toc2758"/>
      <w:bookmarkStart w:id="438" w:name="_Toc9163"/>
      <w:bookmarkStart w:id="439" w:name="_Toc2466"/>
      <w:bookmarkStart w:id="440" w:name="_Toc24328"/>
      <w:bookmarkStart w:id="441" w:name="_Toc18972"/>
      <w:bookmarkStart w:id="442" w:name="_Toc11896"/>
      <w:r>
        <w:rPr>
          <w:rFonts w:hint="eastAsia"/>
          <w:lang w:eastAsia="zh-CN"/>
        </w:rPr>
        <w:t xml:space="preserve">6.3 </w:t>
      </w:r>
      <w:r>
        <w:rPr>
          <w:lang w:eastAsia="zh-CN"/>
        </w:rPr>
        <w:t>Co-existence simulation methodology</w:t>
      </w:r>
      <w:bookmarkEnd w:id="433"/>
      <w:bookmarkEnd w:id="434"/>
      <w:bookmarkEnd w:id="435"/>
      <w:bookmarkEnd w:id="436"/>
      <w:bookmarkEnd w:id="437"/>
      <w:bookmarkEnd w:id="438"/>
      <w:bookmarkEnd w:id="439"/>
      <w:bookmarkEnd w:id="440"/>
      <w:bookmarkEnd w:id="441"/>
      <w:bookmarkEnd w:id="442"/>
    </w:p>
    <w:p>
      <w:pPr>
        <w:spacing w:after="120"/>
        <w:rPr>
          <w:rFonts w:eastAsia="宋体"/>
        </w:rPr>
      </w:pPr>
      <w:r>
        <w:rPr>
          <w:rFonts w:eastAsia="宋体"/>
        </w:rPr>
        <w:t xml:space="preserve">Adopt following simulation steps. </w:t>
      </w:r>
    </w:p>
    <w:p>
      <w:pPr>
        <w:pStyle w:val="74"/>
        <w:rPr>
          <w:rFonts w:eastAsia="宋体"/>
          <w:szCs w:val="24"/>
        </w:rPr>
      </w:pPr>
      <w:r>
        <w:t>-</w:t>
      </w:r>
      <w:r>
        <w:tab/>
      </w:r>
      <w:r>
        <w:t xml:space="preserve">Step 1: Generate aggressor and victim networks. </w:t>
      </w:r>
    </w:p>
    <w:p>
      <w:pPr>
        <w:pStyle w:val="85"/>
      </w:pPr>
      <w:r>
        <w:t>-</w:t>
      </w:r>
      <w:r>
        <w:tab/>
      </w:r>
      <w:r>
        <w:tab/>
      </w:r>
      <w:r>
        <w:t>One ATG site with one sector is dropped referring to clause 6.2.1.3</w:t>
      </w:r>
    </w:p>
    <w:p>
      <w:pPr>
        <w:pStyle w:val="85"/>
      </w:pPr>
      <w:r>
        <w:t xml:space="preserve">- </w:t>
      </w:r>
      <w:r>
        <w:tab/>
      </w:r>
      <w:r>
        <w:t>Deployment of terrestrial network (19 cells with wraparound) refers to Table 6.2.1.2-1</w:t>
      </w:r>
    </w:p>
    <w:p>
      <w:pPr>
        <w:pStyle w:val="85"/>
        <w:rPr>
          <w:rFonts w:eastAsia="宋体"/>
        </w:rPr>
      </w:pPr>
      <w:r>
        <w:t xml:space="preserve">- </w:t>
      </w:r>
      <w:r>
        <w:tab/>
      </w:r>
      <w:r>
        <w:t>The relationship between TN and ATG can refer to clause 6.2.1.1</w:t>
      </w:r>
    </w:p>
    <w:p>
      <w:pPr>
        <w:pStyle w:val="74"/>
        <w:rPr>
          <w:rFonts w:eastAsia="宋体"/>
          <w:szCs w:val="24"/>
        </w:rPr>
      </w:pPr>
      <w:r>
        <w:t>-</w:t>
      </w:r>
      <w:r>
        <w:tab/>
      </w:r>
      <w:r>
        <w:t>Step2: UE associations</w:t>
      </w:r>
    </w:p>
    <w:p>
      <w:pPr>
        <w:pStyle w:val="85"/>
      </w:pPr>
      <w:r>
        <w:t>-</w:t>
      </w:r>
      <w:r>
        <w:tab/>
      </w:r>
      <w:r>
        <w:t xml:space="preserve">TN UE are generated randomly inside the TN network, make sure enough TN UEs are associated to each TN sectors based on coupling loss. </w:t>
      </w:r>
    </w:p>
    <w:p>
      <w:pPr>
        <w:pStyle w:val="85"/>
      </w:pPr>
      <w:r>
        <w:t>-</w:t>
      </w:r>
      <w:r>
        <w:tab/>
      </w:r>
      <w:r>
        <w:t>Deployment of ATG UE refers to clause 6.2.1.3.</w:t>
      </w:r>
    </w:p>
    <w:p>
      <w:pPr>
        <w:pStyle w:val="74"/>
        <w:rPr>
          <w:rFonts w:eastAsia="宋体"/>
          <w:szCs w:val="24"/>
        </w:rPr>
      </w:pPr>
      <w:r>
        <w:t>-</w:t>
      </w:r>
      <w:r>
        <w:tab/>
      </w:r>
      <w:r>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pPr>
        <w:pStyle w:val="74"/>
        <w:rPr>
          <w:rFonts w:eastAsia="宋体"/>
          <w:szCs w:val="24"/>
        </w:rPr>
      </w:pPr>
      <w:r>
        <w:rPr>
          <w:lang w:eastAsia="ja-JP"/>
        </w:rPr>
        <w:t>-</w:t>
      </w:r>
      <w:r>
        <w:rPr>
          <w:lang w:eastAsia="ja-JP"/>
        </w:rPr>
        <w:tab/>
      </w:r>
      <w:r>
        <w:rPr>
          <w:lang w:eastAsia="ja-JP"/>
        </w:rPr>
        <w:t>Step 4: T</w:t>
      </w:r>
      <w:r>
        <w:t xml:space="preserve">hroughput </w:t>
      </w:r>
      <w:r>
        <w:rPr>
          <w:lang w:eastAsia="ja-JP"/>
        </w:rPr>
        <w:t xml:space="preserve">is computed </w:t>
      </w:r>
      <w:r>
        <w:t>in the victim systems without considering ACI</w:t>
      </w:r>
      <w:r>
        <w:rPr>
          <w:lang w:eastAsia="ja-JP"/>
        </w:rPr>
        <w:t xml:space="preserve"> as below:</w:t>
      </w:r>
    </w:p>
    <w:p>
      <w:pPr>
        <w:pStyle w:val="58"/>
        <w:jc w:val="center"/>
      </w:pPr>
      <m:oMath>
        <m:sSub>
          <m:sSubPr>
            <m:ctrlPr>
              <w:rPr>
                <w:rFonts w:ascii="Cambria Math" w:hAnsi="Cambria Math"/>
                <w:iCs/>
              </w:rPr>
            </m:ctrlPr>
          </m:sSubPr>
          <m:e>
            <m:r>
              <m:rPr/>
              <w:rPr>
                <w:rFonts w:ascii="Cambria Math" w:hAnsi="Cambria Math"/>
              </w:rPr>
              <m:t>Tℎput</m:t>
            </m:r>
            <m:ctrlPr>
              <w:rPr>
                <w:rFonts w:ascii="Cambria Math" w:hAnsi="Cambria Math"/>
                <w:iCs/>
              </w:rPr>
            </m:ctrlPr>
          </m:e>
          <m:sub>
            <m:r>
              <m:rPr>
                <m:sty m:val="p"/>
              </m:rPr>
              <w:rPr>
                <w:rFonts w:ascii="Cambria Math" w:hAnsi="Cambria Math"/>
              </w:rPr>
              <m:t>NO ACI</m:t>
            </m:r>
            <m:ctrlPr>
              <w:rPr>
                <w:rFonts w:ascii="Cambria Math" w:hAnsi="Cambria Math"/>
                <w:iCs/>
              </w:rPr>
            </m:ctrlPr>
          </m:sub>
        </m:sSub>
        <m:d>
          <m:dPr>
            <m:begChr m:val="["/>
            <m:endChr m:val="]"/>
            <m:ctrlPr>
              <w:rPr>
                <w:rFonts w:ascii="Cambria Math" w:hAnsi="Cambria Math"/>
                <w:iCs/>
              </w:rPr>
            </m:ctrlPr>
          </m:dPr>
          <m:e>
            <m:r>
              <m:rPr/>
              <w:rPr>
                <w:rFonts w:ascii="Cambria Math" w:hAnsi="Cambria Math"/>
              </w:rPr>
              <m:t>bpsℎz</m:t>
            </m:r>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sSub>
              <m:sSubPr>
                <m:ctrlPr>
                  <w:rPr>
                    <w:rFonts w:ascii="Cambria Math" w:hAnsi="Cambria Math"/>
                    <w:iCs/>
                  </w:rPr>
                </m:ctrlPr>
              </m:sSubPr>
              <m:e>
                <m:r>
                  <m:rPr/>
                  <w:rPr>
                    <w:rFonts w:ascii="Cambria Math" w:hAnsi="Cambria Math"/>
                  </w:rPr>
                  <m:t>SINR</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e>
        </m:d>
        <m:r>
          <m:rPr>
            <m:sty m:val="p"/>
          </m:rPr>
          <w:rPr>
            <w:rFonts w:ascii="Cambria Math" w:hAnsi="Cambria Math"/>
          </w:rPr>
          <m:t>=</m:t>
        </m:r>
        <m:r>
          <m:rPr/>
          <w:rPr>
            <w:rFonts w:ascii="Cambria Math" w:hAnsi="Cambria Math"/>
          </w:rPr>
          <m:t>f</m:t>
        </m:r>
        <m:d>
          <m:dPr>
            <m:ctrlPr>
              <w:rPr>
                <w:rFonts w:ascii="Cambria Math" w:hAnsi="Cambria Math"/>
                <w:iCs/>
              </w:rPr>
            </m:ctrlPr>
          </m:dPr>
          <m:e>
            <m:f>
              <m:fPr>
                <m:ctrlPr>
                  <w:rPr>
                    <w:rFonts w:ascii="Cambria Math" w:hAnsi="Cambria Math"/>
                    <w:iCs/>
                  </w:rPr>
                </m:ctrlPr>
              </m:fPr>
              <m:num>
                <m:r>
                  <m:rPr/>
                  <w:rPr>
                    <w:rFonts w:ascii="Cambria Math" w:hAnsi="Cambria Math"/>
                  </w:rPr>
                  <m:t>S</m:t>
                </m:r>
                <m:ctrlPr>
                  <w:rPr>
                    <w:rFonts w:ascii="Cambria Math" w:hAnsi="Cambria Math"/>
                    <w:iCs/>
                  </w:rPr>
                </m:ctrlPr>
              </m:num>
              <m:den>
                <m:r>
                  <m:rPr/>
                  <w:rPr>
                    <w:rFonts w:ascii="Cambria Math" w:hAnsi="Cambria Math"/>
                  </w:rPr>
                  <m:t>N</m:t>
                </m:r>
                <m:r>
                  <m:rPr>
                    <m:sty m:val="p"/>
                  </m:rPr>
                  <w:rPr>
                    <w:rFonts w:ascii="Cambria Math" w:hAnsi="Cambria Math"/>
                  </w:rPr>
                  <m:t>+</m:t>
                </m:r>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ctrlPr>
                  <w:rPr>
                    <w:rFonts w:ascii="Cambria Math" w:hAnsi="Cambria Math"/>
                    <w:iCs/>
                  </w:rPr>
                </m:ctrlPr>
              </m:den>
            </m:f>
            <m:ctrlPr>
              <w:rPr>
                <w:rFonts w:ascii="Cambria Math" w:hAnsi="Cambria Math"/>
                <w:iCs/>
              </w:rPr>
            </m:ctrlPr>
          </m:e>
        </m:d>
      </m:oMath>
      <w:r>
        <w:t xml:space="preserve">, </w:t>
      </w:r>
    </w:p>
    <w:p>
      <w:pPr>
        <w:pStyle w:val="85"/>
      </w:pPr>
      <w:r>
        <w:t>where</w:t>
      </w:r>
      <w:r>
        <w:rPr>
          <w:lang w:eastAsia="zh-CN"/>
        </w:rPr>
        <w:t>:</w:t>
      </w:r>
      <w:r>
        <w:tab/>
      </w:r>
      <w:r>
        <w:rPr>
          <w:rFonts w:hint="eastAsia" w:eastAsia="宋体"/>
          <w:lang w:val="en-US" w:eastAsia="zh-CN"/>
        </w:rPr>
        <w:t xml:space="preserve"> </w:t>
      </w:r>
      <m:oMath>
        <m:sSub>
          <m:sSubPr>
            <m:ctrlPr>
              <w:rPr>
                <w:rFonts w:ascii="Cambria Math" w:hAnsi="Cambria Math"/>
                <w:iCs/>
              </w:rPr>
            </m:ctrlPr>
          </m:sSubPr>
          <m:e>
            <m:r>
              <m:rPr/>
              <w:rPr>
                <w:rFonts w:ascii="Cambria Math" w:hAnsi="Cambria Math"/>
              </w:rPr>
              <m:t>I</m:t>
            </m:r>
            <m:ctrlPr>
              <w:rPr>
                <w:rFonts w:ascii="Cambria Math" w:hAnsi="Cambria Math"/>
                <w:iCs/>
              </w:rPr>
            </m:ctrlPr>
          </m:e>
          <m:sub>
            <m:r>
              <m:rPr/>
              <w:rPr>
                <w:rFonts w:ascii="Cambria Math" w:hAnsi="Cambria Math"/>
              </w:rPr>
              <m:t>ICI</m:t>
            </m:r>
            <m:ctrlPr>
              <w:rPr>
                <w:rFonts w:ascii="Cambria Math" w:hAnsi="Cambria Math"/>
                <w:iCs/>
              </w:rPr>
            </m:ctrlPr>
          </m:sub>
        </m:sSub>
      </m:oMath>
      <w:r>
        <w:t xml:space="preserve"> is the inter-cell interference.</w:t>
      </w:r>
    </w:p>
    <w:p>
      <w:pPr>
        <w:pStyle w:val="74"/>
      </w:pPr>
      <w:r>
        <w:rPr>
          <w:lang w:eastAsia="ja-JP"/>
        </w:rPr>
        <w:t>-</w:t>
      </w:r>
      <w:r>
        <w:rPr>
          <w:lang w:eastAsia="ja-JP"/>
        </w:rPr>
        <w:tab/>
      </w:r>
      <w:r>
        <w:rPr>
          <w:lang w:eastAsia="ja-JP"/>
        </w:rPr>
        <w:t>Step 5: T</w:t>
      </w:r>
      <w:r>
        <w:t>hroughput</w:t>
      </w:r>
      <w:r>
        <w:rPr>
          <w:lang w:eastAsia="ja-JP"/>
        </w:rPr>
        <w:t xml:space="preserve"> is</w:t>
      </w:r>
      <w:r>
        <w:t xml:space="preserve"> computed considering ACI</w:t>
      </w:r>
      <w:r>
        <w:rPr>
          <w:lang w:eastAsia="ja-JP"/>
        </w:rPr>
        <w:t xml:space="preserve"> as below</w:t>
      </w:r>
      <w:r>
        <w:t>:</w:t>
      </w:r>
    </w:p>
    <w:p>
      <w:pPr>
        <w:pStyle w:val="58"/>
        <w:jc w:val="center"/>
      </w:pPr>
      <m:oMath>
        <m:sSub>
          <m:sSubPr>
            <m:ctrlPr>
              <w:rPr>
                <w:rFonts w:ascii="Cambria Math" w:hAnsi="Cambria Math"/>
                <w:i/>
                <w:iCs/>
              </w:rPr>
            </m:ctrlPr>
          </m:sSubPr>
          <m:e>
            <m:r>
              <m:rPr>
                <m:sty m:val="p"/>
              </m:rPr>
              <w:rPr>
                <w:rFonts w:ascii="Cambria Math" w:hAnsi="Cambria Math"/>
              </w:rPr>
              <m:t>Thput</m:t>
            </m:r>
            <m:ctrlPr>
              <w:rPr>
                <w:rFonts w:ascii="Cambria Math" w:hAnsi="Cambria Math"/>
                <w:i/>
                <w:iCs/>
              </w:rPr>
            </m:ctrlPr>
          </m:e>
          <m:sub>
            <m:r>
              <m:rPr>
                <m:sty m:val="p"/>
              </m:rPr>
              <w:rPr>
                <w:rFonts w:ascii="Cambria Math" w:hAnsi="Cambria Math"/>
              </w:rPr>
              <m:t>ACI</m:t>
            </m:r>
            <m:ctrlPr>
              <w:rPr>
                <w:rFonts w:ascii="Cambria Math" w:hAnsi="Cambria Math"/>
                <w:i/>
                <w:iCs/>
              </w:rPr>
            </m:ctrlPr>
          </m:sub>
        </m:sSub>
        <m:d>
          <m:dPr>
            <m:begChr m:val="["/>
            <m:endChr m:val="]"/>
            <m:ctrlPr>
              <w:rPr>
                <w:rFonts w:ascii="Cambria Math" w:hAnsi="Cambria Math"/>
                <w:i/>
                <w:iCs/>
              </w:rPr>
            </m:ctrlPr>
          </m:dPr>
          <m:e>
            <m:r>
              <m:rPr>
                <m:sty m:val="p"/>
              </m:rPr>
              <w:rPr>
                <w:rFonts w:ascii="Cambria Math" w:hAnsi="Cambria Math"/>
              </w:rPr>
              <m:t>bpshz</m:t>
            </m:r>
            <m:ctrlPr>
              <w:rPr>
                <w:rFonts w:ascii="Cambria Math" w:hAnsi="Cambria Math"/>
                <w:i/>
                <w:iCs/>
              </w:rPr>
            </m:ctrlP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ctrlPr>
                  <w:rPr>
                    <w:rFonts w:ascii="Cambria Math" w:hAnsi="Cambria Math"/>
                    <w:i/>
                    <w:iCs/>
                  </w:rPr>
                </m:ctrlPr>
              </m:e>
              <m:sub>
                <m:r>
                  <m:rPr>
                    <m:sty m:val="p"/>
                  </m:rPr>
                  <w:rPr>
                    <w:rFonts w:ascii="Cambria Math" w:hAnsi="Cambria Math"/>
                  </w:rPr>
                  <m:t>ICI+ACI</m:t>
                </m:r>
                <m:ctrlPr>
                  <w:rPr>
                    <w:rFonts w:ascii="Cambria Math" w:hAnsi="Cambria Math"/>
                    <w:i/>
                    <w:iCs/>
                  </w:rPr>
                </m:ctrlPr>
              </m:sub>
            </m:sSub>
            <m:ctrlPr>
              <w:rPr>
                <w:rFonts w:ascii="Cambria Math" w:hAnsi="Cambria Math"/>
                <w:i/>
                <w:iCs/>
              </w:rPr>
            </m:ctrlPr>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ctrlPr>
                  <w:rPr>
                    <w:rFonts w:ascii="Cambria Math" w:hAnsi="Cambria Math"/>
                    <w:i/>
                    <w:iCs/>
                  </w:rPr>
                </m:ctrlP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ICI</m:t>
                    </m:r>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ctrlPr>
                      <w:rPr>
                        <w:rFonts w:ascii="Cambria Math" w:hAnsi="Cambria Math"/>
                        <w:i/>
                        <w:iCs/>
                      </w:rPr>
                    </m:ctrlPr>
                  </m:e>
                  <m:sub>
                    <m:r>
                      <m:rPr>
                        <m:sty m:val="p"/>
                      </m:rPr>
                      <w:rPr>
                        <w:rFonts w:ascii="Cambria Math" w:hAnsi="Cambria Math"/>
                      </w:rPr>
                      <m:t>ACI</m:t>
                    </m:r>
                    <m:ctrlPr>
                      <w:rPr>
                        <w:rFonts w:ascii="Cambria Math" w:hAnsi="Cambria Math"/>
                        <w:i/>
                        <w:iCs/>
                      </w:rPr>
                    </m:ctrlPr>
                  </m:sub>
                </m:sSub>
                <m:ctrlPr>
                  <w:rPr>
                    <w:rFonts w:ascii="Cambria Math" w:hAnsi="Cambria Math"/>
                    <w:i/>
                    <w:iCs/>
                  </w:rPr>
                </m:ctrlPr>
              </m:den>
            </m:f>
            <m:ctrlPr>
              <w:rPr>
                <w:rFonts w:ascii="Cambria Math" w:hAnsi="Cambria Math"/>
                <w:i/>
                <w:iCs/>
              </w:rPr>
            </m:ctrlPr>
          </m:e>
        </m:d>
      </m:oMath>
      <w:r>
        <w:t xml:space="preserve">, </w:t>
      </w:r>
    </w:p>
    <w:p>
      <w:pPr>
        <w:pStyle w:val="85"/>
      </w:pPr>
      <w:r>
        <w:t>where:</w:t>
      </w:r>
      <w:r>
        <w:tab/>
      </w:r>
      <w:r>
        <w:rPr>
          <w:rFonts w:hint="eastAsia" w:eastAsia="宋体"/>
          <w:lang w:val="en-US" w:eastAsia="zh-CN"/>
        </w:rPr>
        <w:t xml:space="preserve"> </w:t>
      </w:r>
      <m:oMath>
        <m:sSub>
          <m:sSubPr>
            <m:ctrlPr>
              <w:rPr>
                <w:rFonts w:ascii="Cambria Math" w:hAnsi="Cambria Math"/>
                <w:i/>
                <w:iCs/>
              </w:rPr>
            </m:ctrlPr>
          </m:sSubPr>
          <m:e>
            <m:r>
              <m:rPr/>
              <w:rPr>
                <w:rFonts w:ascii="Cambria Math" w:hAnsi="Cambria Math"/>
              </w:rPr>
              <m:t>I</m:t>
            </m:r>
            <m:ctrlPr>
              <w:rPr>
                <w:rFonts w:ascii="Cambria Math" w:hAnsi="Cambria Math"/>
                <w:i/>
                <w:iCs/>
              </w:rPr>
            </m:ctrlPr>
          </m:e>
          <m:sub>
            <m:r>
              <m:rPr/>
              <w:rPr>
                <w:rFonts w:ascii="Cambria Math" w:hAnsi="Cambria Math"/>
              </w:rPr>
              <m:t>ACI</m:t>
            </m:r>
            <m:ctrlPr>
              <w:rPr>
                <w:rFonts w:ascii="Cambria Math" w:hAnsi="Cambria Math"/>
                <w:i/>
                <w:iCs/>
              </w:rPr>
            </m:ctrlPr>
          </m:sub>
        </m:sSub>
      </m:oMath>
      <w:r>
        <w:t xml:space="preserve"> is the adjacent channel interference.</w:t>
      </w:r>
    </w:p>
    <w:p>
      <w:pPr>
        <w:pStyle w:val="74"/>
      </w:pPr>
      <w:r>
        <w:rPr>
          <w:lang w:eastAsia="ja-JP"/>
        </w:rPr>
        <w:t>-</w:t>
      </w:r>
      <w:r>
        <w:rPr>
          <w:lang w:eastAsia="ja-JP"/>
        </w:rPr>
        <w:tab/>
      </w:r>
      <w:r>
        <w:rPr>
          <w:lang w:eastAsia="ja-JP"/>
        </w:rPr>
        <w:t>Step 6: RF</w:t>
      </w:r>
      <w:r>
        <w:t xml:space="preserve"> parameters are determined based </w:t>
      </w:r>
      <w:r>
        <w:rPr>
          <w:lang w:eastAsia="ja-JP"/>
        </w:rPr>
        <w:t xml:space="preserve">on the </w:t>
      </w:r>
      <w:r>
        <w:t>degradation cause by ACI</w:t>
      </w:r>
      <w:r>
        <w:rPr>
          <w:lang w:eastAsia="ja-JP"/>
        </w:rPr>
        <w:t xml:space="preserve"> as below</w:t>
      </w:r>
      <w:r>
        <w:t>:</w:t>
      </w:r>
    </w:p>
    <w:p>
      <w:pPr>
        <w:pStyle w:val="58"/>
        <w:rPr>
          <w:iCs/>
        </w:rPr>
      </w:pPr>
      <m:oMathPara>
        <m:oMath>
          <m:r>
            <m:rPr/>
            <w:rPr>
              <w:rFonts w:ascii="Cambria Math" w:hAnsi="Cambria Math"/>
            </w:rPr>
            <m:t>Los</m:t>
          </m:r>
          <m:sSub>
            <m:sSubPr>
              <m:ctrlPr>
                <w:rPr>
                  <w:rFonts w:ascii="Cambria Math" w:hAnsi="Cambria Math"/>
                  <w:iCs/>
                </w:rPr>
              </m:ctrlPr>
            </m:sSubPr>
            <m:e>
              <m:r>
                <m:rPr/>
                <w:rPr>
                  <w:rFonts w:ascii="Cambria Math" w:hAnsi="Cambria Math"/>
                </w:rPr>
                <m:t>s</m:t>
              </m:r>
              <m:ctrlPr>
                <w:rPr>
                  <w:rFonts w:ascii="Cambria Math" w:hAnsi="Cambria Math"/>
                  <w:iCs/>
                </w:rPr>
              </m:ctrlPr>
            </m:e>
            <m:sub>
              <m:r>
                <m:rPr/>
                <w:rPr>
                  <w:rFonts w:ascii="Cambria Math" w:hAnsi="Cambria Math"/>
                </w:rPr>
                <m:t>ACI</m:t>
              </m:r>
              <m:ctrlPr>
                <w:rPr>
                  <w:rFonts w:ascii="Cambria Math" w:hAnsi="Cambria Math"/>
                  <w:iCs/>
                </w:rPr>
              </m:ctrlP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ACI</m:t>
                  </m:r>
                  <m:ctrlPr>
                    <w:rPr>
                      <w:rFonts w:ascii="Cambria Math" w:hAnsi="Cambria Math"/>
                      <w:iCs/>
                    </w:rPr>
                  </m:ctrlPr>
                </m:sub>
              </m:sSub>
              <m:ctrlPr>
                <w:rPr>
                  <w:rFonts w:ascii="Cambria Math" w:hAnsi="Cambria Math"/>
                  <w:iCs/>
                </w:rPr>
              </m:ctrlPr>
            </m:num>
            <m:den>
              <m:sSub>
                <m:sSubPr>
                  <m:ctrlPr>
                    <w:rPr>
                      <w:rFonts w:ascii="Cambria Math" w:hAnsi="Cambria Math"/>
                      <w:iCs/>
                    </w:rPr>
                  </m:ctrlPr>
                </m:sSubPr>
                <m:e>
                  <m:r>
                    <m:rPr>
                      <m:sty m:val="p"/>
                    </m:rPr>
                    <w:rPr>
                      <w:rFonts w:ascii="Cambria Math" w:hAnsi="Cambria Math"/>
                    </w:rPr>
                    <m:t>Thput</m:t>
                  </m:r>
                  <m:ctrlPr>
                    <w:rPr>
                      <w:rFonts w:ascii="Cambria Math" w:hAnsi="Cambria Math"/>
                      <w:iCs/>
                    </w:rPr>
                  </m:ctrlPr>
                </m:e>
                <m:sub>
                  <m:r>
                    <m:rPr>
                      <m:sty m:val="p"/>
                    </m:rPr>
                    <w:rPr>
                      <w:rFonts w:ascii="Cambria Math" w:hAnsi="Cambria Math"/>
                    </w:rPr>
                    <m:t>SINGLE</m:t>
                  </m:r>
                  <m:ctrlPr>
                    <w:rPr>
                      <w:rFonts w:ascii="Cambria Math" w:hAnsi="Cambria Math"/>
                      <w:iCs/>
                    </w:rPr>
                  </m:ctrlPr>
                </m:sub>
              </m:sSub>
              <m:ctrlPr>
                <w:rPr>
                  <w:rFonts w:ascii="Cambria Math" w:hAnsi="Cambria Math"/>
                  <w:iCs/>
                </w:rPr>
              </m:ctrlPr>
            </m:den>
          </m:f>
        </m:oMath>
      </m:oMathPara>
    </w:p>
    <w:p>
      <w:pPr>
        <w:rPr>
          <w:lang w:eastAsia="zh-CN"/>
        </w:rPr>
      </w:pPr>
    </w:p>
    <w:p>
      <w:pPr>
        <w:pStyle w:val="3"/>
        <w:keepNext/>
        <w:keepLines/>
        <w:spacing w:before="180"/>
        <w:ind w:left="1134"/>
        <w:outlineLvl w:val="1"/>
        <w:rPr>
          <w:lang w:eastAsia="ja-JP"/>
        </w:rPr>
      </w:pPr>
      <w:bookmarkStart w:id="443" w:name="_Toc9516"/>
      <w:bookmarkStart w:id="444" w:name="_Toc24957"/>
      <w:bookmarkStart w:id="445" w:name="_Toc31621"/>
      <w:bookmarkStart w:id="446" w:name="_Toc10268"/>
      <w:bookmarkStart w:id="447" w:name="_Toc4189"/>
      <w:bookmarkStart w:id="448" w:name="_Toc17602"/>
      <w:bookmarkStart w:id="449" w:name="_Toc19517"/>
      <w:bookmarkStart w:id="450" w:name="_Toc31874"/>
      <w:r>
        <w:rPr>
          <w:lang w:eastAsia="ja-JP"/>
        </w:rPr>
        <w:t>6.4 Co-existence simulation results</w:t>
      </w:r>
      <w:bookmarkEnd w:id="443"/>
      <w:bookmarkEnd w:id="444"/>
      <w:bookmarkEnd w:id="445"/>
      <w:bookmarkEnd w:id="446"/>
      <w:bookmarkEnd w:id="447"/>
      <w:bookmarkEnd w:id="448"/>
      <w:bookmarkEnd w:id="449"/>
      <w:bookmarkEnd w:id="450"/>
    </w:p>
    <w:p>
      <w:pPr>
        <w:pStyle w:val="4"/>
      </w:pPr>
      <w:bookmarkStart w:id="451" w:name="_Toc18087"/>
      <w:bookmarkStart w:id="452" w:name="_Toc25652"/>
      <w:bookmarkStart w:id="453" w:name="_Toc10597"/>
      <w:bookmarkStart w:id="454" w:name="_Toc28794"/>
      <w:bookmarkStart w:id="455" w:name="_Toc9471"/>
      <w:bookmarkStart w:id="456" w:name="_Toc22091"/>
      <w:bookmarkStart w:id="457" w:name="_Toc18868"/>
      <w:bookmarkStart w:id="458" w:name="_Toc1899"/>
      <w:bookmarkStart w:id="459" w:name="_Toc20051"/>
      <w:r>
        <w:t>6.4.1 Synchronized Scenarios</w:t>
      </w:r>
      <w:bookmarkEnd w:id="451"/>
      <w:bookmarkEnd w:id="452"/>
      <w:bookmarkEnd w:id="453"/>
      <w:bookmarkEnd w:id="454"/>
      <w:bookmarkEnd w:id="455"/>
      <w:bookmarkEnd w:id="456"/>
      <w:bookmarkEnd w:id="457"/>
      <w:bookmarkEnd w:id="458"/>
      <w:bookmarkEnd w:id="459"/>
    </w:p>
    <w:p>
      <w:pPr>
        <w:pStyle w:val="5"/>
        <w:rPr>
          <w:lang w:val="sv-SE"/>
        </w:rPr>
      </w:pPr>
      <w:bookmarkStart w:id="460" w:name="_Toc29326"/>
      <w:bookmarkStart w:id="461" w:name="_Toc736"/>
      <w:bookmarkStart w:id="462" w:name="_Toc20136"/>
      <w:bookmarkStart w:id="463" w:name="_Toc12718"/>
      <w:bookmarkStart w:id="464" w:name="_Toc6142"/>
      <w:bookmarkStart w:id="465" w:name="_Toc8148"/>
      <w:bookmarkStart w:id="466" w:name="_Toc20901"/>
      <w:bookmarkStart w:id="467" w:name="_Toc2077"/>
      <w:bookmarkStart w:id="468" w:name="_Toc23815"/>
      <w:r>
        <w:rPr>
          <w:lang w:val="sv-SE"/>
        </w:rPr>
        <w:t>6.4.1.1 Scenario 1: 4GHz ATG DL interfering TN DL</w:t>
      </w:r>
      <w:bookmarkEnd w:id="460"/>
      <w:bookmarkEnd w:id="461"/>
      <w:bookmarkEnd w:id="462"/>
      <w:bookmarkEnd w:id="463"/>
      <w:bookmarkEnd w:id="464"/>
      <w:bookmarkEnd w:id="465"/>
      <w:bookmarkEnd w:id="466"/>
      <w:bookmarkEnd w:id="467"/>
      <w:bookmarkEnd w:id="468"/>
    </w:p>
    <w:p>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pPr>
        <w:jc w:val="center"/>
        <w:rPr>
          <w:rFonts w:ascii="Arial" w:hAnsi="Arial" w:cs="Arial"/>
          <w:b/>
          <w:bCs/>
        </w:rPr>
      </w:pPr>
      <w:r>
        <w:rPr>
          <w:rFonts w:ascii="Arial" w:hAnsi="Arial" w:cs="Arial"/>
          <w:b/>
          <w:bCs/>
        </w:rPr>
        <w:t>Table 6.4.1.1-1: Throughput Loss (%) at ATG BS ACLR 45 dB for Scenario 1 – 4 GHz ATG DL interfering TN DL</w:t>
      </w:r>
    </w:p>
    <w:tbl>
      <w:tblPr>
        <w:tblStyle w:val="4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1701"/>
        <w:gridCol w:w="4536"/>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27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701"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US" w:eastAsia="ko"/>
              </w:rPr>
            </w:pPr>
            <w:r>
              <w:rPr>
                <w:rFonts w:eastAsia="Yu Mincho" w:cs="Arial"/>
                <w:lang w:eastAsia="ko"/>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271" w:type="dxa"/>
            <w:vMerge w:val="continue"/>
            <w:tcBorders>
              <w:left w:val="single" w:color="auto" w:sz="4" w:space="0"/>
              <w:right w:val="single" w:color="auto" w:sz="4" w:space="0"/>
            </w:tcBorders>
            <w:vAlign w:val="center"/>
          </w:tcPr>
          <w:p>
            <w:pPr>
              <w:jc w:val="cente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2.388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0.355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keepNext/>
              <w:keepLines/>
              <w:spacing w:after="0"/>
              <w:jc w:val="center"/>
              <w:rPr>
                <w:rFonts w:eastAsia="Yu Mincho" w:cs="Arial"/>
                <w:lang w:val="sv-SE" w:eastAsia="zh-CN"/>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271" w:type="dxa"/>
            <w:vMerge w:val="continue"/>
            <w:tcBorders>
              <w:left w:val="single" w:color="auto" w:sz="4" w:space="0"/>
              <w:right w:val="single" w:color="auto" w:sz="4" w:space="0"/>
            </w:tcBorders>
            <w:vAlign w:val="center"/>
          </w:tcPr>
          <w:p>
            <w:pPr>
              <w:rPr>
                <w:rFonts w:eastAsia="Yu Mincho" w:cs="Arial"/>
              </w:rPr>
            </w:pPr>
          </w:p>
        </w:tc>
        <w:tc>
          <w:tcPr>
            <w:tcW w:w="1701"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536"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keepNext/>
        <w:rPr>
          <w:rFonts w:cs="Arial"/>
        </w:rPr>
      </w:pPr>
    </w:p>
    <w:p>
      <w:pPr>
        <w:keepNext/>
        <w:rPr>
          <w:rFonts w:cs="Arial"/>
        </w:rPr>
      </w:pPr>
    </w:p>
    <w:p>
      <w:pPr>
        <w:keepNext/>
        <w:rPr>
          <w:rFonts w:cs="Arial"/>
        </w:rPr>
      </w:pPr>
    </w:p>
    <w:p>
      <w:pPr>
        <w:keepNext/>
        <w:rPr>
          <w:rFonts w:cs="Arial"/>
        </w:rPr>
      </w:pPr>
    </w:p>
    <w:p>
      <w:pPr>
        <w:pStyle w:val="6"/>
        <w:keepNext w:val="0"/>
      </w:pPr>
      <w:bookmarkStart w:id="469" w:name="_Toc26769"/>
      <w:bookmarkStart w:id="470" w:name="_Toc22019"/>
      <w:bookmarkStart w:id="471" w:name="_Toc19855"/>
      <w:bookmarkStart w:id="472" w:name="_Toc3048"/>
      <w:bookmarkStart w:id="473" w:name="_Toc11387"/>
      <w:bookmarkStart w:id="474" w:name="_Toc13358"/>
      <w:bookmarkStart w:id="475" w:name="_Toc22189"/>
      <w:bookmarkStart w:id="476" w:name="_Toc19073"/>
      <w:bookmarkStart w:id="477" w:name="_Toc15522"/>
      <w:r>
        <w:rPr>
          <w:rFonts w:hint="eastAsia"/>
          <w:lang w:val="en-US" w:eastAsia="zh-CN"/>
        </w:rPr>
        <w:t xml:space="preserve">6.4.1.1.1 </w:t>
      </w:r>
      <w:r>
        <w:t>Non-Subarray model</w:t>
      </w:r>
      <w:bookmarkEnd w:id="469"/>
      <w:bookmarkEnd w:id="470"/>
      <w:bookmarkEnd w:id="471"/>
      <w:bookmarkEnd w:id="472"/>
      <w:bookmarkEnd w:id="473"/>
      <w:bookmarkEnd w:id="474"/>
      <w:bookmarkEnd w:id="475"/>
      <w:bookmarkEnd w:id="476"/>
      <w:bookmarkEnd w:id="477"/>
    </w:p>
    <w:p>
      <w:pPr>
        <w:keepNext/>
        <w:jc w:val="center"/>
        <w:rPr>
          <w:rFonts w:cs="Arial"/>
        </w:rPr>
      </w:pPr>
      <w:r>
        <w:rPr>
          <w:rFonts w:cs="Arial"/>
        </w:rPr>
        <w:drawing>
          <wp:inline distT="0" distB="0" distL="0" distR="0">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pPr>
        <w:pStyle w:val="28"/>
        <w:jc w:val="center"/>
        <w:rPr>
          <w:rFonts w:ascii="Arial" w:hAnsi="Arial" w:cs="Arial"/>
        </w:rPr>
      </w:pPr>
      <w:r>
        <w:rPr>
          <w:rFonts w:ascii="Arial" w:hAnsi="Arial" w:cs="Arial"/>
        </w:rPr>
        <w:t>Figure 6.4.1.1-1: Simulation results for Throughput Loss - 5% of users in the whole network</w:t>
      </w:r>
    </w:p>
    <w:p>
      <w:pPr>
        <w:keepNext/>
        <w:jc w:val="center"/>
        <w:rPr>
          <w:rFonts w:cs="Arial"/>
        </w:rPr>
      </w:pPr>
      <w:r>
        <w:rPr>
          <w:rFonts w:cs="Arial"/>
        </w:rPr>
        <w:drawing>
          <wp:inline distT="0" distB="0" distL="0" distR="0">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pPr>
        <w:pStyle w:val="28"/>
        <w:jc w:val="center"/>
        <w:rPr>
          <w:rFonts w:ascii="Arial" w:hAnsi="Arial" w:cs="Arial"/>
        </w:rPr>
      </w:pPr>
      <w:r>
        <w:rPr>
          <w:rFonts w:ascii="Arial" w:hAnsi="Arial" w:cs="Arial"/>
        </w:rPr>
        <w:t>Figure 6.4.1.1-2: Simulation results for Throughput Loss – Average of all users in the whole network</w:t>
      </w:r>
    </w:p>
    <w:p>
      <w:pPr>
        <w:rPr>
          <w:rFonts w:cs="Arial"/>
        </w:rPr>
      </w:pPr>
    </w:p>
    <w:p>
      <w:pPr>
        <w:keepNext/>
        <w:jc w:val="center"/>
        <w:rPr>
          <w:rFonts w:cs="Arial"/>
        </w:rPr>
      </w:pPr>
      <w:r>
        <w:rPr>
          <w:rFonts w:cs="Arial"/>
        </w:rPr>
        <w:drawing>
          <wp:inline distT="0" distB="0" distL="0" distR="0">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pPr>
        <w:pStyle w:val="28"/>
        <w:jc w:val="center"/>
        <w:rPr>
          <w:rFonts w:ascii="Arial" w:hAnsi="Arial" w:cs="Arial"/>
        </w:rPr>
      </w:pPr>
      <w:r>
        <w:rPr>
          <w:rFonts w:ascii="Arial" w:hAnsi="Arial" w:cs="Arial"/>
        </w:rPr>
        <w:t>Figure 6.4.1.1-3: Simulation results for Throughput Loss – 5% of users within cell of largest throughput loss of victim network</w:t>
      </w:r>
    </w:p>
    <w:p>
      <w:pPr>
        <w:jc w:val="center"/>
        <w:rPr>
          <w:rFonts w:cs="Arial"/>
        </w:rPr>
      </w:pPr>
    </w:p>
    <w:p>
      <w:pPr>
        <w:keepNext/>
        <w:jc w:val="center"/>
        <w:rPr>
          <w:rFonts w:cs="Arial"/>
        </w:rPr>
      </w:pPr>
      <w:r>
        <w:rPr>
          <w:rFonts w:cs="Arial"/>
        </w:rPr>
        <w:drawing>
          <wp:inline distT="0" distB="0" distL="0" distR="0">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pPr>
        <w:pStyle w:val="28"/>
        <w:jc w:val="center"/>
        <w:rPr>
          <w:rFonts w:ascii="Arial" w:hAnsi="Arial" w:cs="Arial"/>
        </w:rPr>
      </w:pPr>
      <w:r>
        <w:rPr>
          <w:rFonts w:ascii="Arial" w:hAnsi="Arial" w:cs="Arial"/>
        </w:rPr>
        <w:t>Figure 6.4.1.1-4: Simulation results for Throughput Loss – Average of all users within cell of largest throughput loss of victim network</w:t>
      </w:r>
    </w:p>
    <w:p>
      <w:pPr>
        <w:rPr>
          <w:rFonts w:cs="Arial"/>
        </w:rPr>
      </w:pPr>
    </w:p>
    <w:p>
      <w:pPr>
        <w:pStyle w:val="6"/>
      </w:pPr>
      <w:bookmarkStart w:id="478" w:name="_Toc20166"/>
      <w:bookmarkStart w:id="479" w:name="_Toc28038"/>
      <w:bookmarkStart w:id="480" w:name="_Toc31694"/>
      <w:bookmarkStart w:id="481" w:name="_Toc7528"/>
      <w:bookmarkStart w:id="482" w:name="_Toc26441"/>
      <w:bookmarkStart w:id="483" w:name="_Toc7028"/>
      <w:bookmarkStart w:id="484" w:name="_Toc4843"/>
      <w:bookmarkStart w:id="485" w:name="_Toc25691"/>
      <w:bookmarkStart w:id="486" w:name="_Toc29211"/>
      <w:r>
        <w:rPr>
          <w:rFonts w:hint="eastAsia"/>
          <w:lang w:val="en-US" w:eastAsia="zh-CN"/>
        </w:rPr>
        <w:t xml:space="preserve">6.4.1.1.2 </w:t>
      </w:r>
      <w:r>
        <w:t>Subarray model</w:t>
      </w:r>
      <w:bookmarkEnd w:id="478"/>
      <w:bookmarkEnd w:id="479"/>
      <w:bookmarkEnd w:id="480"/>
      <w:bookmarkEnd w:id="481"/>
      <w:bookmarkEnd w:id="482"/>
      <w:bookmarkEnd w:id="483"/>
      <w:bookmarkEnd w:id="484"/>
      <w:bookmarkEnd w:id="485"/>
      <w:bookmarkEnd w:id="486"/>
    </w:p>
    <w:p>
      <w:pPr>
        <w:keepNext/>
        <w:rPr>
          <w:rFonts w:cs="Arial"/>
        </w:rPr>
      </w:pPr>
      <w:r>
        <w:rPr>
          <w:rFonts w:cs="Arial"/>
        </w:rPr>
        <w:drawing>
          <wp:inline distT="0" distB="0" distL="0" distR="0">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pPr>
        <w:pStyle w:val="28"/>
        <w:jc w:val="center"/>
        <w:rPr>
          <w:rFonts w:ascii="Arial" w:hAnsi="Arial" w:cs="Arial"/>
        </w:rPr>
      </w:pPr>
      <w:r>
        <w:rPr>
          <w:rFonts w:ascii="Arial" w:hAnsi="Arial" w:cs="Arial"/>
        </w:rPr>
        <w:t>Figure 6.4.1.1-5: Simulation results for Throughput Loss - 5% of users in the whole network</w:t>
      </w:r>
    </w:p>
    <w:p>
      <w:pPr>
        <w:rPr>
          <w:rFonts w:cs="Arial"/>
        </w:rPr>
      </w:pPr>
    </w:p>
    <w:p>
      <w:pPr>
        <w:keepNext/>
        <w:rPr>
          <w:rFonts w:cs="Arial"/>
        </w:rPr>
      </w:pPr>
      <w:r>
        <w:rPr>
          <w:rFonts w:cs="Arial"/>
        </w:rPr>
        <w:drawing>
          <wp:inline distT="0" distB="0" distL="0" distR="0">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pPr>
        <w:pStyle w:val="28"/>
        <w:jc w:val="center"/>
        <w:rPr>
          <w:rFonts w:ascii="Arial" w:hAnsi="Arial" w:cs="Arial"/>
        </w:rPr>
      </w:pPr>
      <w:r>
        <w:rPr>
          <w:rFonts w:ascii="Arial" w:hAnsi="Arial" w:cs="Arial"/>
        </w:rPr>
        <w:t>Figure 6.4.1.1-6: Simulation results for Throughput Loss – Average of all users in the whole network</w:t>
      </w:r>
    </w:p>
    <w:p>
      <w:pPr>
        <w:rPr>
          <w:rFonts w:cs="Arial"/>
        </w:rPr>
      </w:pPr>
    </w:p>
    <w:p>
      <w:pPr>
        <w:rPr>
          <w:rFonts w:cs="Arial"/>
        </w:rPr>
      </w:pPr>
      <w:r>
        <w:rPr>
          <w:rFonts w:cs="Arial"/>
        </w:rPr>
        <w:drawing>
          <wp:inline distT="0" distB="0" distL="0" distR="0">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pPr>
        <w:pStyle w:val="28"/>
        <w:jc w:val="center"/>
        <w:rPr>
          <w:rFonts w:ascii="Arial" w:hAnsi="Arial" w:cs="Arial"/>
        </w:rPr>
      </w:pPr>
      <w:r>
        <w:rPr>
          <w:rFonts w:ascii="Arial" w:hAnsi="Arial" w:cs="Arial"/>
        </w:rPr>
        <w:t>Figure 6.4.1.1-7: Simulation results for Throughput Loss – 5% of users within cell of largest throughput loss of victim network</w:t>
      </w:r>
    </w:p>
    <w:p>
      <w:pPr>
        <w:rPr>
          <w:rFonts w:cs="Arial"/>
        </w:rPr>
      </w:pPr>
    </w:p>
    <w:p>
      <w:pPr>
        <w:keepNext/>
        <w:rPr>
          <w:rFonts w:cs="Arial"/>
        </w:rPr>
      </w:pPr>
      <w:r>
        <w:rPr>
          <w:rFonts w:cs="Arial"/>
        </w:rPr>
        <w:drawing>
          <wp:inline distT="0" distB="0" distL="0" distR="0">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pPr>
        <w:pStyle w:val="28"/>
        <w:jc w:val="center"/>
        <w:rPr>
          <w:rFonts w:ascii="Arial" w:hAnsi="Arial" w:cs="Arial"/>
        </w:rPr>
      </w:pPr>
      <w:r>
        <w:rPr>
          <w:rFonts w:ascii="Arial" w:hAnsi="Arial" w:cs="Arial"/>
        </w:rPr>
        <w:t>Figure 6.4.1.1-</w:t>
      </w:r>
      <w:r>
        <w:rPr>
          <w:rFonts w:hint="eastAsia" w:ascii="Arial" w:hAnsi="Arial" w:eastAsia="宋体" w:cs="Arial"/>
          <w:lang w:val="en-US" w:eastAsia="zh-CN"/>
        </w:rPr>
        <w:t>8</w:t>
      </w:r>
      <w:r>
        <w:rPr>
          <w:rFonts w:ascii="Arial" w:hAnsi="Arial" w:cs="Arial"/>
        </w:rPr>
        <w:t>: Simulation results for Throughput Loss – Average of all users within cell of largest throughput loss of victim network</w:t>
      </w:r>
    </w:p>
    <w:p>
      <w:pPr>
        <w:rPr>
          <w:rFonts w:cs="Arial"/>
        </w:rPr>
      </w:pPr>
    </w:p>
    <w:p>
      <w:pPr>
        <w:pStyle w:val="5"/>
        <w:rPr>
          <w:rFonts w:ascii="Arial" w:hAnsi="Arial" w:cs="Arial"/>
          <w:b/>
          <w:bCs/>
          <w:szCs w:val="24"/>
          <w:lang w:val="sv-SE"/>
        </w:rPr>
      </w:pPr>
      <w:bookmarkStart w:id="487" w:name="_Toc19582"/>
      <w:bookmarkStart w:id="488" w:name="_Toc29210"/>
      <w:bookmarkStart w:id="489" w:name="_Toc32474"/>
      <w:bookmarkStart w:id="490" w:name="_Toc9546"/>
      <w:bookmarkStart w:id="491" w:name="_Toc19451"/>
      <w:bookmarkStart w:id="492" w:name="_Toc21270"/>
      <w:bookmarkStart w:id="493" w:name="_Toc31582"/>
      <w:bookmarkStart w:id="494" w:name="_Toc10349"/>
      <w:bookmarkStart w:id="495" w:name="_Toc11905"/>
      <w:r>
        <w:rPr>
          <w:lang w:val="sv-SE"/>
        </w:rPr>
        <w:t>6.4.1.2 Scenario 2: 4GHz ATG UL interfering TN UL</w:t>
      </w:r>
      <w:r>
        <w:rPr>
          <w:rFonts w:ascii="Arial" w:hAnsi="Arial" w:cs="Arial"/>
          <w:b/>
          <w:bCs/>
          <w:szCs w:val="24"/>
          <w:lang w:val="sv-SE"/>
        </w:rPr>
        <w:br w:type="textWrapping"/>
      </w:r>
      <w:bookmarkEnd w:id="487"/>
      <w:bookmarkEnd w:id="488"/>
      <w:bookmarkEnd w:id="489"/>
      <w:bookmarkEnd w:id="490"/>
      <w:bookmarkEnd w:id="491"/>
      <w:bookmarkEnd w:id="492"/>
      <w:bookmarkEnd w:id="493"/>
      <w:bookmarkEnd w:id="494"/>
      <w:bookmarkEnd w:id="495"/>
    </w:p>
    <w:p>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pPr>
        <w:jc w:val="center"/>
        <w:rPr>
          <w:rFonts w:ascii="Arial" w:hAnsi="Arial" w:cs="Arial"/>
          <w:b/>
          <w:bCs/>
        </w:rPr>
      </w:pPr>
      <w:r>
        <w:rPr>
          <w:rFonts w:ascii="Arial" w:hAnsi="Arial" w:cs="Arial"/>
          <w:b/>
          <w:bCs/>
        </w:rPr>
        <w:t>Table 6.4.1.2-1: Simulation results for Scenario 2 – 4 GHz ATG UL interfering TN UL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5082"/>
        <w:gridCol w:w="1276"/>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508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2551" w:type="dxa"/>
            <w:gridSpan w:val="2"/>
            <w:tcBorders>
              <w:top w:val="single" w:color="auto" w:sz="4" w:space="0"/>
              <w:left w:val="single" w:color="auto" w:sz="4" w:space="0"/>
              <w:right w:val="single" w:color="auto" w:sz="4" w:space="0"/>
            </w:tcBorders>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5082"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27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508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496" w:name="_Toc24689"/>
      <w:bookmarkStart w:id="497" w:name="_Toc30529"/>
      <w:bookmarkStart w:id="498" w:name="_Toc8125"/>
      <w:bookmarkStart w:id="499" w:name="_Toc23362"/>
      <w:bookmarkStart w:id="500" w:name="_Toc9411"/>
      <w:bookmarkStart w:id="501" w:name="_Toc5250"/>
      <w:bookmarkStart w:id="502" w:name="_Toc11500"/>
      <w:bookmarkStart w:id="503" w:name="_Toc18761"/>
      <w:bookmarkStart w:id="504" w:name="_Toc5583"/>
      <w:r>
        <w:rPr>
          <w:rFonts w:hint="eastAsia"/>
          <w:lang w:val="en-US" w:eastAsia="zh-CN"/>
        </w:rPr>
        <w:t xml:space="preserve">6.4.1.2.1 </w:t>
      </w:r>
      <w:r>
        <w:t>Non-Subarray model</w:t>
      </w:r>
      <w:bookmarkEnd w:id="496"/>
      <w:bookmarkEnd w:id="497"/>
      <w:bookmarkEnd w:id="498"/>
      <w:bookmarkEnd w:id="499"/>
      <w:bookmarkEnd w:id="500"/>
      <w:bookmarkEnd w:id="501"/>
      <w:bookmarkEnd w:id="502"/>
      <w:bookmarkEnd w:id="503"/>
      <w:bookmarkEnd w:id="504"/>
    </w:p>
    <w:p>
      <w:pPr>
        <w:rPr>
          <w:rFonts w:cs="Arial"/>
        </w:rPr>
      </w:pPr>
    </w:p>
    <w:p>
      <w:pPr>
        <w:pStyle w:val="7"/>
      </w:pPr>
      <w:bookmarkStart w:id="505" w:name="_Toc30983"/>
      <w:bookmarkStart w:id="506" w:name="_Toc3656"/>
      <w:bookmarkStart w:id="507" w:name="_Toc4777"/>
      <w:bookmarkStart w:id="508" w:name="_Toc26749"/>
      <w:bookmarkStart w:id="509" w:name="_Toc29508"/>
      <w:r>
        <w:t>Maximum distance between ATG BS and ATG UE is 100 km</w:t>
      </w:r>
      <w:bookmarkEnd w:id="505"/>
      <w:bookmarkEnd w:id="506"/>
      <w:bookmarkEnd w:id="507"/>
      <w:bookmarkEnd w:id="508"/>
      <w:bookmarkEnd w:id="509"/>
    </w:p>
    <w:p>
      <w:pPr>
        <w:keepNext/>
        <w:rPr>
          <w:rFonts w:cs="Arial"/>
        </w:rPr>
      </w:pPr>
      <w:r>
        <w:rPr>
          <w:rFonts w:cs="Arial"/>
        </w:rPr>
        <w:drawing>
          <wp:inline distT="0" distB="0" distL="0" distR="0">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pPr>
        <w:pStyle w:val="28"/>
        <w:jc w:val="center"/>
        <w:rPr>
          <w:rFonts w:ascii="Arial" w:hAnsi="Arial" w:cs="Arial"/>
        </w:rPr>
      </w:pPr>
      <w:r>
        <w:rPr>
          <w:rFonts w:ascii="Arial" w:hAnsi="Arial" w:cs="Arial"/>
        </w:rPr>
        <w:t>Figure 6.4.1.2-1: Simulation results for Throughput Loss - 5% of users in the whole network</w:t>
      </w:r>
    </w:p>
    <w:p>
      <w:pPr>
        <w:keepNext/>
        <w:rPr>
          <w:rFonts w:cs="Arial"/>
        </w:rPr>
      </w:pPr>
      <w:r>
        <w:rPr>
          <w:rFonts w:cs="Arial"/>
        </w:rPr>
        <w:drawing>
          <wp:inline distT="0" distB="0" distL="0" distR="0">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pPr>
        <w:pStyle w:val="28"/>
        <w:jc w:val="center"/>
        <w:rPr>
          <w:rFonts w:ascii="Arial" w:hAnsi="Arial" w:cs="Arial"/>
        </w:rPr>
      </w:pPr>
      <w:r>
        <w:rPr>
          <w:rFonts w:ascii="Arial" w:hAnsi="Arial" w:cs="Arial"/>
        </w:rPr>
        <w:t>Figure 6.4.1.2-2: Simulation results for Throughput Loss – Average of all users in the whole network</w:t>
      </w:r>
    </w:p>
    <w:p>
      <w:pPr>
        <w:keepNext/>
        <w:rPr>
          <w:rFonts w:cs="Arial"/>
        </w:rPr>
      </w:pPr>
      <w:r>
        <w:rPr>
          <w:rFonts w:cs="Arial"/>
        </w:rPr>
        <w:drawing>
          <wp:inline distT="0" distB="0" distL="0" distR="0">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pPr>
        <w:pStyle w:val="28"/>
        <w:jc w:val="center"/>
        <w:rPr>
          <w:rFonts w:ascii="Arial" w:hAnsi="Arial" w:cs="Arial"/>
        </w:rPr>
      </w:pPr>
      <w:r>
        <w:rPr>
          <w:rFonts w:ascii="Arial" w:hAnsi="Arial" w:cs="Arial"/>
        </w:rPr>
        <w:t>Figure 6.4.1.2-3: Simulation results for Throughput Loss – 5% of users within cell of largest throughput loss of victim network</w:t>
      </w:r>
    </w:p>
    <w:p>
      <w:pPr>
        <w:rPr>
          <w:rFonts w:cs="Arial"/>
        </w:rPr>
      </w:pPr>
    </w:p>
    <w:p>
      <w:pPr>
        <w:rPr>
          <w:rFonts w:cs="Arial"/>
        </w:rPr>
      </w:pPr>
      <w:r>
        <w:rPr>
          <w:rFonts w:cs="Arial"/>
        </w:rPr>
        <w:drawing>
          <wp:inline distT="0" distB="0" distL="0" distR="0">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pPr>
        <w:pStyle w:val="28"/>
        <w:jc w:val="center"/>
        <w:rPr>
          <w:rFonts w:ascii="Arial" w:hAnsi="Arial" w:cs="Arial"/>
        </w:rPr>
      </w:pPr>
      <w:r>
        <w:rPr>
          <w:rFonts w:ascii="Arial" w:hAnsi="Arial" w:cs="Arial"/>
        </w:rPr>
        <w:t>Figure 6.4.1.2-4: Simulation results for Throughput Loss – Average of all users within cell of largest throughput loss of victim network</w:t>
      </w:r>
    </w:p>
    <w:p>
      <w:pPr>
        <w:rPr>
          <w:rFonts w:cs="Arial"/>
        </w:rPr>
      </w:pPr>
    </w:p>
    <w:p>
      <w:pPr>
        <w:pStyle w:val="7"/>
      </w:pPr>
      <w:bookmarkStart w:id="510" w:name="_Toc29052"/>
      <w:bookmarkStart w:id="511" w:name="_Toc8808"/>
      <w:bookmarkStart w:id="512" w:name="_Toc32043"/>
      <w:bookmarkStart w:id="513" w:name="_Toc31447"/>
      <w:bookmarkStart w:id="514" w:name="_Toc29921"/>
      <w:r>
        <w:t>Maximum distance between ATG BS and ATG UE is 300 km</w:t>
      </w:r>
      <w:bookmarkEnd w:id="510"/>
      <w:bookmarkEnd w:id="511"/>
      <w:bookmarkEnd w:id="512"/>
      <w:bookmarkEnd w:id="513"/>
      <w:bookmarkEnd w:id="514"/>
    </w:p>
    <w:p>
      <w:pPr>
        <w:keepNext/>
        <w:rPr>
          <w:rFonts w:cs="Arial"/>
        </w:rPr>
      </w:pPr>
      <w:r>
        <w:rPr>
          <w:rFonts w:cs="Arial"/>
        </w:rPr>
        <w:drawing>
          <wp:inline distT="0" distB="0" distL="0" distR="0">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pPr>
        <w:pStyle w:val="28"/>
        <w:jc w:val="center"/>
        <w:rPr>
          <w:rFonts w:ascii="Arial" w:hAnsi="Arial" w:cs="Arial"/>
        </w:rPr>
      </w:pPr>
      <w:r>
        <w:rPr>
          <w:rFonts w:ascii="Arial" w:hAnsi="Arial" w:cs="Arial"/>
        </w:rPr>
        <w:t>Figure 6.4.1.2-5: Simulation results for Throughput Loss - 5% of users in the whole network</w:t>
      </w:r>
    </w:p>
    <w:p>
      <w:pPr>
        <w:keepNext/>
        <w:rPr>
          <w:rFonts w:cs="Arial"/>
        </w:rPr>
      </w:pPr>
      <w:r>
        <w:rPr>
          <w:rFonts w:cs="Arial"/>
        </w:rPr>
        <w:drawing>
          <wp:inline distT="0" distB="0" distL="0" distR="0">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pPr>
        <w:pStyle w:val="28"/>
        <w:jc w:val="center"/>
        <w:rPr>
          <w:rFonts w:ascii="Arial" w:hAnsi="Arial" w:cs="Arial"/>
          <w:sz w:val="20"/>
          <w:szCs w:val="20"/>
        </w:rPr>
      </w:pPr>
      <w:r>
        <w:rPr>
          <w:rFonts w:ascii="Arial" w:hAnsi="Arial" w:cs="Arial"/>
          <w:sz w:val="20"/>
          <w:szCs w:val="20"/>
        </w:rPr>
        <w:t>Figure 6.4.1.2-6: Simulation results for Throughput Loss – Average of all users in the whole network</w:t>
      </w:r>
    </w:p>
    <w:p>
      <w:pPr>
        <w:rPr>
          <w:rFonts w:cs="Arial"/>
        </w:rPr>
      </w:pPr>
      <w:r>
        <w:rPr>
          <w:rFonts w:cs="Arial"/>
        </w:rPr>
        <w:drawing>
          <wp:inline distT="0" distB="0" distL="0" distR="0">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pPr>
        <w:pStyle w:val="28"/>
        <w:jc w:val="center"/>
        <w:rPr>
          <w:rFonts w:ascii="Arial" w:hAnsi="Arial" w:cs="Arial"/>
        </w:rPr>
      </w:pPr>
      <w:r>
        <w:rPr>
          <w:rFonts w:ascii="Arial" w:hAnsi="Arial" w:cs="Arial"/>
        </w:rPr>
        <w:t>Figure 6.4.1.2-7: Simulation results for Throughput Loss – 5% of users within cell of largest throughput loss of victim network</w:t>
      </w:r>
    </w:p>
    <w:p>
      <w:pPr>
        <w:rPr>
          <w:rFonts w:cs="Arial"/>
        </w:rPr>
      </w:pPr>
      <w:r>
        <w:rPr>
          <w:rFonts w:cs="Arial"/>
        </w:rPr>
        <w:drawing>
          <wp:inline distT="0" distB="0" distL="0" distR="0">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pPr>
        <w:pStyle w:val="28"/>
        <w:jc w:val="center"/>
        <w:rPr>
          <w:rFonts w:ascii="Arial" w:hAnsi="Arial" w:cs="Arial"/>
        </w:rPr>
      </w:pPr>
      <w:r>
        <w:rPr>
          <w:rFonts w:ascii="Arial" w:hAnsi="Arial" w:cs="Arial"/>
        </w:rPr>
        <w:t>Figure 6.4.1.2-8: Simulation results for Throughput Loss – Average of all users within cell of largest throughput loss of victim network</w:t>
      </w:r>
    </w:p>
    <w:p>
      <w:pPr>
        <w:rPr>
          <w:rFonts w:cs="Arial"/>
        </w:rPr>
      </w:pPr>
    </w:p>
    <w:p>
      <w:pPr>
        <w:pStyle w:val="6"/>
      </w:pPr>
      <w:bookmarkStart w:id="515" w:name="_Toc24145"/>
      <w:bookmarkStart w:id="516" w:name="_Toc10115"/>
      <w:bookmarkStart w:id="517" w:name="_Toc17726"/>
      <w:bookmarkStart w:id="518" w:name="_Toc6426"/>
      <w:bookmarkStart w:id="519" w:name="_Toc406"/>
      <w:bookmarkStart w:id="520" w:name="_Toc17717"/>
      <w:bookmarkStart w:id="521" w:name="_Toc20543"/>
      <w:bookmarkStart w:id="522" w:name="_Toc31154"/>
      <w:bookmarkStart w:id="523" w:name="_Toc12694"/>
      <w:r>
        <w:rPr>
          <w:rFonts w:hint="eastAsia"/>
          <w:lang w:val="en-US" w:eastAsia="zh-CN"/>
        </w:rPr>
        <w:t xml:space="preserve">6.4.1.2.2 </w:t>
      </w:r>
      <w:r>
        <w:t>Subarray model</w:t>
      </w:r>
      <w:bookmarkEnd w:id="515"/>
      <w:bookmarkEnd w:id="516"/>
      <w:bookmarkEnd w:id="517"/>
      <w:bookmarkEnd w:id="518"/>
      <w:bookmarkEnd w:id="519"/>
      <w:bookmarkEnd w:id="520"/>
      <w:bookmarkEnd w:id="521"/>
      <w:bookmarkEnd w:id="522"/>
      <w:bookmarkEnd w:id="523"/>
    </w:p>
    <w:p>
      <w:pPr>
        <w:pStyle w:val="7"/>
      </w:pPr>
      <w:bookmarkStart w:id="524" w:name="_Toc8289"/>
      <w:bookmarkStart w:id="525" w:name="_Toc18232"/>
      <w:bookmarkStart w:id="526" w:name="_Toc8112"/>
      <w:bookmarkStart w:id="527" w:name="_Toc26100"/>
      <w:bookmarkStart w:id="528" w:name="_Toc23557"/>
      <w:r>
        <w:t>Maximum distance between ATG BS and ATG UE is 100 km</w:t>
      </w:r>
      <w:bookmarkEnd w:id="524"/>
      <w:bookmarkEnd w:id="525"/>
      <w:bookmarkEnd w:id="526"/>
      <w:bookmarkEnd w:id="527"/>
      <w:bookmarkEnd w:id="528"/>
    </w:p>
    <w:p>
      <w:pPr>
        <w:rPr>
          <w:rFonts w:cs="Arial"/>
        </w:rPr>
      </w:pPr>
      <w:r>
        <w:rPr>
          <w:rFonts w:cs="Arial"/>
        </w:rPr>
        <w:drawing>
          <wp:inline distT="0" distB="0" distL="0" distR="0">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pPr>
        <w:pStyle w:val="28"/>
        <w:jc w:val="center"/>
        <w:rPr>
          <w:rFonts w:ascii="Arial" w:hAnsi="Arial" w:cs="Arial"/>
        </w:rPr>
      </w:pPr>
      <w:r>
        <w:rPr>
          <w:rFonts w:ascii="Arial" w:hAnsi="Arial" w:cs="Arial"/>
        </w:rPr>
        <w:t>Figure 6.4.1.2-9: Simulation results for Throughput Loss - 5% of users in the whole network</w:t>
      </w:r>
    </w:p>
    <w:p>
      <w:pPr>
        <w:rPr>
          <w:rFonts w:cs="Arial"/>
        </w:rPr>
      </w:pPr>
    </w:p>
    <w:p>
      <w:pPr>
        <w:rPr>
          <w:rFonts w:cs="Arial"/>
        </w:rPr>
      </w:pPr>
      <w:r>
        <w:rPr>
          <w:rFonts w:cs="Arial"/>
        </w:rPr>
        <w:drawing>
          <wp:inline distT="0" distB="0" distL="0" distR="0">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pPr>
        <w:pStyle w:val="28"/>
        <w:jc w:val="center"/>
        <w:rPr>
          <w:rFonts w:ascii="Arial" w:hAnsi="Arial" w:cs="Arial"/>
        </w:rPr>
      </w:pPr>
      <w:r>
        <w:rPr>
          <w:rFonts w:ascii="Arial" w:hAnsi="Arial" w:cs="Arial"/>
        </w:rPr>
        <w:t>Figure 6.4.1.2-10: Simulation results for Throughput Loss – Average of all users in the whole network</w:t>
      </w:r>
    </w:p>
    <w:p>
      <w:pPr>
        <w:rPr>
          <w:rFonts w:cs="Arial"/>
        </w:rPr>
      </w:pPr>
      <w:r>
        <w:rPr>
          <w:rFonts w:cs="Arial"/>
        </w:rPr>
        <w:drawing>
          <wp:inline distT="0" distB="0" distL="0" distR="0">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pPr>
        <w:pStyle w:val="28"/>
        <w:jc w:val="center"/>
        <w:rPr>
          <w:rFonts w:ascii="Arial" w:hAnsi="Arial" w:cs="Arial"/>
        </w:rPr>
      </w:pPr>
      <w:r>
        <w:rPr>
          <w:rFonts w:ascii="Arial" w:hAnsi="Arial" w:cs="Arial"/>
        </w:rPr>
        <w:t>Figure 6.4.1.2-11: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pPr>
        <w:pStyle w:val="28"/>
        <w:jc w:val="center"/>
        <w:rPr>
          <w:rFonts w:ascii="Arial" w:hAnsi="Arial" w:cs="Arial"/>
        </w:rPr>
      </w:pPr>
      <w:r>
        <w:rPr>
          <w:rFonts w:ascii="Arial" w:hAnsi="Arial" w:cs="Arial"/>
        </w:rPr>
        <w:t>Figure 6.4.1.2-12: Simulation results for Throughput Loss – Average of all users within cell of largest throughput loss of victim network</w:t>
      </w:r>
    </w:p>
    <w:p>
      <w:pPr>
        <w:rPr>
          <w:rFonts w:cs="Arial"/>
        </w:rPr>
      </w:pPr>
    </w:p>
    <w:p>
      <w:pPr>
        <w:rPr>
          <w:rFonts w:cs="Arial"/>
        </w:rPr>
      </w:pPr>
    </w:p>
    <w:p>
      <w:pPr>
        <w:pStyle w:val="7"/>
      </w:pPr>
      <w:bookmarkStart w:id="529" w:name="_Toc8122"/>
      <w:bookmarkStart w:id="530" w:name="_Toc7385"/>
      <w:bookmarkStart w:id="531" w:name="_Toc16989"/>
      <w:bookmarkStart w:id="532" w:name="_Toc28980"/>
      <w:bookmarkStart w:id="533" w:name="_Toc27519"/>
      <w:r>
        <w:t>Maximum distance between ATG BS and ATG UE is 300 km</w:t>
      </w:r>
      <w:bookmarkEnd w:id="529"/>
      <w:bookmarkEnd w:id="530"/>
      <w:bookmarkEnd w:id="531"/>
      <w:bookmarkEnd w:id="532"/>
      <w:bookmarkEnd w:id="533"/>
    </w:p>
    <w:p>
      <w:pPr>
        <w:rPr>
          <w:rFonts w:ascii="Arial" w:hAnsi="Arial" w:cs="Arial"/>
        </w:rPr>
      </w:pPr>
      <w:r>
        <w:rPr>
          <w:rFonts w:ascii="Arial" w:hAnsi="Arial" w:cs="Arial"/>
        </w:rPr>
        <w:drawing>
          <wp:inline distT="0" distB="0" distL="0" distR="0">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pPr>
        <w:pStyle w:val="28"/>
        <w:jc w:val="center"/>
        <w:rPr>
          <w:rFonts w:ascii="Arial" w:hAnsi="Arial" w:cs="Arial"/>
        </w:rPr>
      </w:pPr>
      <w:r>
        <w:rPr>
          <w:rFonts w:ascii="Arial" w:hAnsi="Arial" w:cs="Arial"/>
        </w:rPr>
        <w:t>Figure 6.4.1.2-13: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pPr>
        <w:pStyle w:val="28"/>
        <w:jc w:val="center"/>
        <w:rPr>
          <w:rFonts w:ascii="Arial" w:hAnsi="Arial" w:cs="Arial"/>
        </w:rPr>
      </w:pPr>
      <w:r>
        <w:rPr>
          <w:rFonts w:ascii="Arial" w:hAnsi="Arial" w:cs="Arial"/>
        </w:rPr>
        <w:t>Figure 6.4.1.2-14: Simulation results for Throughput Loss – Average of all users in the whole network</w:t>
      </w:r>
    </w:p>
    <w:p>
      <w:pPr>
        <w:rPr>
          <w:rFonts w:ascii="Arial" w:hAnsi="Arial" w:cs="Arial"/>
        </w:rPr>
      </w:pPr>
      <w:r>
        <w:rPr>
          <w:rFonts w:ascii="Arial" w:hAnsi="Arial" w:cs="Arial"/>
        </w:rPr>
        <w:drawing>
          <wp:inline distT="0" distB="0" distL="0" distR="0">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pPr>
        <w:pStyle w:val="28"/>
        <w:jc w:val="center"/>
        <w:rPr>
          <w:rFonts w:ascii="Arial" w:hAnsi="Arial" w:cs="Arial"/>
        </w:rPr>
      </w:pPr>
      <w:r>
        <w:rPr>
          <w:rFonts w:ascii="Arial" w:hAnsi="Arial" w:cs="Arial"/>
        </w:rPr>
        <w:t>Figure 6.4.1.2-15: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pPr>
        <w:pStyle w:val="28"/>
        <w:jc w:val="center"/>
        <w:rPr>
          <w:rFonts w:ascii="Arial" w:hAnsi="Arial" w:cs="Arial"/>
        </w:rPr>
      </w:pPr>
      <w:r>
        <w:rPr>
          <w:rFonts w:ascii="Arial" w:hAnsi="Arial" w:cs="Arial"/>
        </w:rPr>
        <w:t>Figure 6.4.1.2-16: Simulation results for Throughput Loss – Average of all users within cell of largest throughput loss of victim network</w:t>
      </w:r>
    </w:p>
    <w:p>
      <w:pPr>
        <w:rPr>
          <w:rFonts w:cs="Arial"/>
        </w:rPr>
      </w:pPr>
    </w:p>
    <w:p>
      <w:pPr>
        <w:pStyle w:val="5"/>
        <w:rPr>
          <w:lang w:val="sv-SE"/>
        </w:rPr>
      </w:pPr>
      <w:bookmarkStart w:id="534" w:name="_Toc14419"/>
      <w:bookmarkStart w:id="535" w:name="_Toc32746"/>
      <w:bookmarkStart w:id="536" w:name="_Toc5048"/>
      <w:bookmarkStart w:id="537" w:name="_Toc17899"/>
      <w:bookmarkStart w:id="538" w:name="_Toc16234"/>
      <w:bookmarkStart w:id="539" w:name="_Toc2662"/>
      <w:bookmarkStart w:id="540" w:name="_Toc5184"/>
      <w:bookmarkStart w:id="541" w:name="_Toc24813"/>
      <w:bookmarkStart w:id="542" w:name="_Toc13217"/>
      <w:r>
        <w:rPr>
          <w:lang w:val="sv-SE"/>
        </w:rPr>
        <w:t>6.4.1.3 Scenario 3: 4GHz TN DL interfering ATG DL</w:t>
      </w:r>
      <w:bookmarkEnd w:id="534"/>
      <w:bookmarkEnd w:id="535"/>
      <w:bookmarkEnd w:id="536"/>
      <w:bookmarkEnd w:id="537"/>
      <w:bookmarkEnd w:id="538"/>
      <w:bookmarkEnd w:id="539"/>
      <w:bookmarkEnd w:id="540"/>
      <w:bookmarkEnd w:id="541"/>
      <w:bookmarkEnd w:id="542"/>
    </w:p>
    <w:p>
      <w:pPr>
        <w:rPr>
          <w:rFonts w:cs="Arial"/>
          <w:lang w:val="sv-SE"/>
        </w:rPr>
      </w:pPr>
    </w:p>
    <w:p>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pPr>
        <w:rPr>
          <w:rFonts w:cs="Arial"/>
        </w:rPr>
      </w:pPr>
    </w:p>
    <w:p>
      <w:pPr>
        <w:jc w:val="center"/>
        <w:rPr>
          <w:rFonts w:ascii="Arial" w:hAnsi="Arial" w:cs="Arial"/>
          <w:b/>
          <w:bCs/>
        </w:rPr>
      </w:pPr>
      <w:r>
        <w:rPr>
          <w:rFonts w:ascii="Arial" w:hAnsi="Arial" w:cs="Arial"/>
          <w:b/>
          <w:bCs/>
        </w:rPr>
        <w:t>Table 6.4.1.3-1: Simulation results for Scenario 3 – 4GHz TN DL interfering ATG DL</w:t>
      </w:r>
    </w:p>
    <w:tbl>
      <w:tblPr>
        <w:tblStyle w:val="49"/>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155"/>
        <w:gridCol w:w="4090"/>
        <w:gridCol w:w="1346"/>
        <w:gridCol w:w="17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6"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4090"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3118" w:type="dxa"/>
            <w:gridSpan w:val="2"/>
            <w:tcBorders>
              <w:top w:val="single" w:color="auto" w:sz="4" w:space="0"/>
              <w:left w:val="single" w:color="auto" w:sz="4" w:space="0"/>
              <w:right w:val="single" w:color="auto" w:sz="4" w:space="0"/>
            </w:tcBorders>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55"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4090"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34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55"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7.02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keepNext/>
              <w:keepLines/>
              <w:spacing w:after="0"/>
              <w:jc w:val="center"/>
              <w:rPr>
                <w:rFonts w:eastAsia="Yu Mincho" w:cs="Arial"/>
                <w:highlight w:val="yellow"/>
                <w:lang w:val="sv-SE"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en-US" w:eastAsia="zh-CN"/>
              </w:rPr>
            </w:pPr>
          </w:p>
        </w:tc>
        <w:tc>
          <w:tcPr>
            <w:tcW w:w="1155"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55"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090"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543" w:name="_Toc4061"/>
      <w:bookmarkStart w:id="544" w:name="_Toc7539"/>
      <w:bookmarkStart w:id="545" w:name="_Toc31732"/>
      <w:bookmarkStart w:id="546" w:name="_Toc30166"/>
      <w:bookmarkStart w:id="547" w:name="_Toc24721"/>
      <w:bookmarkStart w:id="548" w:name="_Toc21098"/>
      <w:bookmarkStart w:id="549" w:name="_Toc31870"/>
      <w:bookmarkStart w:id="550" w:name="_Toc15817"/>
      <w:bookmarkStart w:id="551" w:name="_Toc3599"/>
      <w:r>
        <w:rPr>
          <w:rFonts w:hint="eastAsia"/>
          <w:lang w:val="en-US" w:eastAsia="zh-CN"/>
        </w:rPr>
        <w:t xml:space="preserve">6.4.1.3.1 </w:t>
      </w:r>
      <w:r>
        <w:t>Non-Subarray model</w:t>
      </w:r>
      <w:bookmarkEnd w:id="543"/>
      <w:bookmarkEnd w:id="544"/>
      <w:bookmarkEnd w:id="545"/>
      <w:bookmarkEnd w:id="546"/>
      <w:bookmarkEnd w:id="547"/>
      <w:bookmarkEnd w:id="548"/>
      <w:bookmarkEnd w:id="549"/>
      <w:bookmarkEnd w:id="550"/>
      <w:bookmarkEnd w:id="551"/>
    </w:p>
    <w:p>
      <w:pPr>
        <w:pStyle w:val="7"/>
      </w:pPr>
      <w:bookmarkStart w:id="552" w:name="_Toc21401"/>
      <w:bookmarkStart w:id="553" w:name="_Toc24590"/>
      <w:bookmarkStart w:id="554" w:name="_Toc20013"/>
      <w:bookmarkStart w:id="555" w:name="_Toc18705"/>
      <w:bookmarkStart w:id="556" w:name="_Toc31381"/>
      <w:r>
        <w:t>Maximum distance between ATG BS and ATG UE is 100 km</w:t>
      </w:r>
      <w:bookmarkEnd w:id="552"/>
      <w:bookmarkEnd w:id="553"/>
      <w:bookmarkEnd w:id="554"/>
      <w:bookmarkEnd w:id="555"/>
      <w:bookmarkEnd w:id="556"/>
    </w:p>
    <w:p>
      <w:pPr>
        <w:rPr>
          <w:rFonts w:ascii="Arial" w:hAnsi="Arial" w:cs="Arial"/>
        </w:rPr>
      </w:pPr>
      <w:r>
        <w:rPr>
          <w:rFonts w:ascii="Arial" w:hAnsi="Arial" w:cs="Arial"/>
        </w:rPr>
        <w:drawing>
          <wp:inline distT="0" distB="0" distL="0" distR="0">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cs="Arial"/>
        </w:rPr>
      </w:pPr>
    </w:p>
    <w:p>
      <w:pPr>
        <w:pStyle w:val="7"/>
      </w:pPr>
      <w:bookmarkStart w:id="557" w:name="_Toc2463"/>
      <w:bookmarkStart w:id="558" w:name="_Toc25913"/>
      <w:bookmarkStart w:id="559" w:name="_Toc19114"/>
      <w:bookmarkStart w:id="560" w:name="_Toc4940"/>
      <w:bookmarkStart w:id="561" w:name="_Toc30604"/>
      <w:r>
        <w:t>Maximum distance between ATG BS and ATG UE is 300 km</w:t>
      </w:r>
      <w:bookmarkEnd w:id="557"/>
      <w:bookmarkEnd w:id="558"/>
      <w:bookmarkEnd w:id="559"/>
      <w:bookmarkEnd w:id="560"/>
      <w:bookmarkEnd w:id="561"/>
    </w:p>
    <w:p>
      <w:pPr>
        <w:rPr>
          <w:rFonts w:ascii="Arial" w:hAnsi="Arial" w:cs="Arial"/>
        </w:rPr>
      </w:pPr>
      <w:r>
        <w:rPr>
          <w:rFonts w:ascii="Arial" w:hAnsi="Arial" w:cs="Arial"/>
        </w:rPr>
        <w:drawing>
          <wp:inline distT="0" distB="0" distL="0" distR="0">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.1</w:t>
      </w:r>
      <w:r>
        <w:rPr>
          <w:rFonts w:ascii="Arial" w:hAnsi="Arial" w:cs="Arial"/>
        </w:rPr>
        <w:t>-3: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.1</w:t>
      </w:r>
      <w:r>
        <w:rPr>
          <w:rFonts w:ascii="Arial" w:hAnsi="Arial" w:cs="Arial"/>
        </w:rPr>
        <w:t>-4: Simulation results for Throughput Loss – Average of all users in the whole network</w:t>
      </w:r>
    </w:p>
    <w:p>
      <w:pPr>
        <w:rPr>
          <w:rFonts w:cs="Arial"/>
        </w:rPr>
      </w:pPr>
    </w:p>
    <w:p>
      <w:pPr>
        <w:pStyle w:val="6"/>
      </w:pPr>
      <w:bookmarkStart w:id="562" w:name="_Toc25751"/>
      <w:bookmarkStart w:id="563" w:name="_Toc1900"/>
      <w:bookmarkStart w:id="564" w:name="_Toc17503"/>
      <w:bookmarkStart w:id="565" w:name="_Toc1942"/>
      <w:bookmarkStart w:id="566" w:name="_Toc5458"/>
      <w:bookmarkStart w:id="567" w:name="_Toc6987"/>
      <w:bookmarkStart w:id="568" w:name="_Toc11373"/>
      <w:bookmarkStart w:id="569" w:name="_Toc29698"/>
      <w:bookmarkStart w:id="570" w:name="_Toc31497"/>
      <w:r>
        <w:rPr>
          <w:rFonts w:hint="eastAsia"/>
          <w:lang w:val="en-US" w:eastAsia="zh-CN"/>
        </w:rPr>
        <w:t xml:space="preserve">6.4.1.3.2 </w:t>
      </w:r>
      <w:r>
        <w:t>Subarray model</w:t>
      </w:r>
      <w:bookmarkEnd w:id="562"/>
      <w:bookmarkEnd w:id="563"/>
      <w:bookmarkEnd w:id="564"/>
      <w:bookmarkEnd w:id="565"/>
      <w:bookmarkEnd w:id="566"/>
      <w:bookmarkEnd w:id="567"/>
      <w:bookmarkEnd w:id="568"/>
      <w:bookmarkEnd w:id="569"/>
      <w:bookmarkEnd w:id="570"/>
    </w:p>
    <w:p>
      <w:pPr>
        <w:pStyle w:val="7"/>
      </w:pPr>
      <w:bookmarkStart w:id="571" w:name="_Toc21615"/>
      <w:bookmarkStart w:id="572" w:name="_Toc445"/>
      <w:bookmarkStart w:id="573" w:name="_Toc6778"/>
      <w:bookmarkStart w:id="574" w:name="_Toc12517"/>
      <w:bookmarkStart w:id="575" w:name="_Toc23790"/>
      <w:r>
        <w:t>Maximum distance between ATG BS and ATG UE is 100 km</w:t>
      </w:r>
      <w:bookmarkEnd w:id="571"/>
      <w:bookmarkEnd w:id="572"/>
      <w:bookmarkEnd w:id="573"/>
      <w:bookmarkEnd w:id="574"/>
      <w:bookmarkEnd w:id="575"/>
    </w:p>
    <w:p>
      <w:pPr>
        <w:rPr>
          <w:rFonts w:ascii="Arial" w:hAnsi="Arial" w:cs="Arial"/>
        </w:rPr>
      </w:pPr>
      <w:r>
        <w:rPr>
          <w:rFonts w:ascii="Arial" w:hAnsi="Arial" w:cs="Arial"/>
        </w:rPr>
        <w:drawing>
          <wp:inline distT="0" distB="0" distL="0" distR="0">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1</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2</w:t>
      </w:r>
      <w:r>
        <w:rPr>
          <w:rFonts w:ascii="Arial" w:hAnsi="Arial" w:cs="Arial"/>
        </w:rPr>
        <w:t>: Simulation results for Throughput Loss – Average of all users in the whole network</w:t>
      </w:r>
    </w:p>
    <w:p>
      <w:pPr>
        <w:pStyle w:val="7"/>
        <w:rPr>
          <w:rFonts w:ascii="Arial" w:hAnsi="Arial" w:cs="Arial"/>
        </w:rPr>
      </w:pPr>
      <w:bookmarkStart w:id="576" w:name="_Toc28502"/>
      <w:bookmarkStart w:id="577" w:name="_Toc367"/>
      <w:bookmarkStart w:id="578" w:name="_Toc6236"/>
      <w:bookmarkStart w:id="579" w:name="_Toc24891"/>
      <w:bookmarkStart w:id="580" w:name="_Toc18046"/>
      <w:r>
        <w:rPr>
          <w:rFonts w:ascii="Arial" w:hAnsi="Arial" w:cs="Arial"/>
        </w:rPr>
        <w:t>Maximum distance between ATG BS and ATG UE is 300 km</w:t>
      </w:r>
      <w:bookmarkEnd w:id="576"/>
      <w:bookmarkEnd w:id="577"/>
      <w:bookmarkEnd w:id="578"/>
      <w:bookmarkEnd w:id="579"/>
      <w:bookmarkEnd w:id="580"/>
    </w:p>
    <w:p>
      <w:pPr>
        <w:rPr>
          <w:rFonts w:ascii="Arial" w:hAnsi="Arial" w:cs="Arial"/>
        </w:rPr>
      </w:pPr>
      <w:r>
        <w:rPr>
          <w:rFonts w:ascii="Arial" w:hAnsi="Arial" w:cs="Arial"/>
        </w:rPr>
        <w:drawing>
          <wp:inline distT="0" distB="0" distL="0" distR="0">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3</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pPr>
        <w:pStyle w:val="28"/>
        <w:jc w:val="center"/>
        <w:rPr>
          <w:rFonts w:ascii="Arial" w:hAnsi="Arial" w:cs="Arial"/>
        </w:rPr>
      </w:pPr>
      <w:r>
        <w:rPr>
          <w:rFonts w:ascii="Arial" w:hAnsi="Arial" w:cs="Arial"/>
        </w:rPr>
        <w:t>Figure 6.4.1.3</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4</w:t>
      </w:r>
      <w:r>
        <w:rPr>
          <w:rFonts w:ascii="Arial" w:hAnsi="Arial" w:cs="Arial"/>
        </w:rPr>
        <w:t>: Simulation results for Throughput Loss – Average of all users in the whole network</w:t>
      </w:r>
    </w:p>
    <w:p>
      <w:pPr>
        <w:rPr>
          <w:rFonts w:cs="Arial"/>
        </w:rPr>
      </w:pPr>
    </w:p>
    <w:p>
      <w:pPr>
        <w:pStyle w:val="5"/>
        <w:rPr>
          <w:lang w:val="sv-SE"/>
        </w:rPr>
      </w:pPr>
      <w:bookmarkStart w:id="581" w:name="_Toc9283"/>
      <w:bookmarkStart w:id="582" w:name="_Toc9313"/>
      <w:bookmarkStart w:id="583" w:name="_Toc24205"/>
      <w:bookmarkStart w:id="584" w:name="_Toc17376"/>
      <w:bookmarkStart w:id="585" w:name="_Toc7958"/>
      <w:bookmarkStart w:id="586" w:name="_Toc26318"/>
      <w:bookmarkStart w:id="587" w:name="_Toc4696"/>
      <w:bookmarkStart w:id="588" w:name="_Toc202"/>
      <w:bookmarkStart w:id="589" w:name="_Toc9598"/>
      <w:r>
        <w:rPr>
          <w:lang w:val="sv-SE"/>
        </w:rPr>
        <w:t>6.4.1.4 Scenario 4: 4GHz TN UL interfering ATG UL</w:t>
      </w:r>
      <w:bookmarkEnd w:id="581"/>
      <w:bookmarkEnd w:id="582"/>
      <w:bookmarkEnd w:id="583"/>
      <w:bookmarkEnd w:id="584"/>
      <w:bookmarkEnd w:id="585"/>
      <w:bookmarkEnd w:id="586"/>
      <w:bookmarkEnd w:id="587"/>
      <w:bookmarkEnd w:id="588"/>
      <w:bookmarkEnd w:id="589"/>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jc w:val="center"/>
        <w:rPr>
          <w:rFonts w:ascii="Arial" w:hAnsi="Arial" w:cs="Arial"/>
          <w:b/>
          <w:bCs/>
        </w:rPr>
      </w:pPr>
      <w:r>
        <w:rPr>
          <w:rFonts w:ascii="Arial" w:hAnsi="Arial" w:cs="Arial"/>
          <w:b/>
          <w:bCs/>
        </w:rPr>
        <w:t>Table 6.4.1.4-1: Simulation results for Scenario 4 – 4GHz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rPr>
          <w:rFonts w:cs="Arial"/>
        </w:rPr>
      </w:pPr>
    </w:p>
    <w:p>
      <w:pPr>
        <w:pStyle w:val="6"/>
      </w:pPr>
      <w:bookmarkStart w:id="590" w:name="_Toc20493"/>
      <w:bookmarkStart w:id="591" w:name="_Toc4932"/>
      <w:bookmarkStart w:id="592" w:name="_Toc11666"/>
      <w:bookmarkStart w:id="593" w:name="_Toc853"/>
      <w:bookmarkStart w:id="594" w:name="_Toc4649"/>
      <w:bookmarkStart w:id="595" w:name="_Toc14078"/>
      <w:bookmarkStart w:id="596" w:name="_Toc12384"/>
      <w:bookmarkStart w:id="597" w:name="_Toc7876"/>
      <w:bookmarkStart w:id="598" w:name="_Toc24417"/>
      <w:r>
        <w:rPr>
          <w:rFonts w:hint="eastAsia"/>
          <w:lang w:val="en-US" w:eastAsia="zh-CN"/>
        </w:rPr>
        <w:t xml:space="preserve">6.4.1.4.1 </w:t>
      </w:r>
      <w:r>
        <w:t>Non-Subarray model</w:t>
      </w:r>
      <w:bookmarkEnd w:id="590"/>
      <w:bookmarkEnd w:id="591"/>
      <w:bookmarkEnd w:id="592"/>
      <w:bookmarkEnd w:id="593"/>
      <w:bookmarkEnd w:id="594"/>
      <w:bookmarkEnd w:id="595"/>
      <w:bookmarkEnd w:id="596"/>
      <w:bookmarkEnd w:id="597"/>
      <w:bookmarkEnd w:id="598"/>
    </w:p>
    <w:p>
      <w:pPr>
        <w:rPr>
          <w:rFonts w:cs="Arial"/>
        </w:rPr>
      </w:pPr>
    </w:p>
    <w:p>
      <w:pPr>
        <w:rPr>
          <w:rFonts w:ascii="Arial" w:hAnsi="Arial" w:cs="Arial"/>
        </w:rPr>
      </w:pPr>
      <w:r>
        <w:rPr>
          <w:rFonts w:ascii="Arial" w:hAnsi="Arial" w:cs="Arial"/>
        </w:rPr>
        <w:drawing>
          <wp:inline distT="0" distB="0" distL="0" distR="0">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pPr>
        <w:pStyle w:val="28"/>
        <w:jc w:val="center"/>
        <w:rPr>
          <w:rFonts w:ascii="Arial" w:hAnsi="Arial" w:cs="Arial"/>
        </w:rPr>
      </w:pPr>
      <w:r>
        <w:rPr>
          <w:rFonts w:ascii="Arial" w:hAnsi="Arial" w:cs="Arial"/>
        </w:rPr>
        <w:t>Figure 6.4.1.4</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pPr>
        <w:pStyle w:val="28"/>
        <w:jc w:val="center"/>
        <w:rPr>
          <w:rFonts w:ascii="Arial" w:hAnsi="Arial" w:cs="Arial"/>
        </w:rPr>
      </w:pPr>
      <w:r>
        <w:rPr>
          <w:rFonts w:ascii="Arial" w:hAnsi="Arial" w:cs="Arial"/>
        </w:rPr>
        <w:t>Figure 6.4.1.4</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cs="Arial"/>
        </w:rPr>
      </w:pPr>
    </w:p>
    <w:p>
      <w:pPr>
        <w:rPr>
          <w:rFonts w:cs="Arial"/>
        </w:rPr>
      </w:pPr>
    </w:p>
    <w:p>
      <w:pPr>
        <w:pStyle w:val="6"/>
      </w:pPr>
      <w:bookmarkStart w:id="599" w:name="_Toc3853"/>
      <w:bookmarkStart w:id="600" w:name="_Toc25471"/>
      <w:bookmarkStart w:id="601" w:name="_Toc22767"/>
      <w:bookmarkStart w:id="602" w:name="_Toc5428"/>
      <w:bookmarkStart w:id="603" w:name="_Toc19538"/>
      <w:bookmarkStart w:id="604" w:name="_Toc32435"/>
      <w:bookmarkStart w:id="605" w:name="_Toc5149"/>
      <w:bookmarkStart w:id="606" w:name="_Toc16340"/>
      <w:bookmarkStart w:id="607" w:name="_Toc7587"/>
      <w:r>
        <w:rPr>
          <w:rFonts w:hint="eastAsia"/>
          <w:lang w:val="en-US" w:eastAsia="zh-CN"/>
        </w:rPr>
        <w:t xml:space="preserve">6.4.1.4.2 </w:t>
      </w:r>
      <w:r>
        <w:t>Subarray model</w:t>
      </w:r>
      <w:bookmarkEnd w:id="599"/>
      <w:bookmarkEnd w:id="600"/>
      <w:bookmarkEnd w:id="601"/>
      <w:bookmarkEnd w:id="602"/>
      <w:bookmarkEnd w:id="603"/>
      <w:bookmarkEnd w:id="604"/>
      <w:bookmarkEnd w:id="605"/>
      <w:bookmarkEnd w:id="606"/>
      <w:bookmarkEnd w:id="607"/>
    </w:p>
    <w:p>
      <w:pPr>
        <w:rPr>
          <w:rFonts w:cs="Arial"/>
        </w:rPr>
      </w:pPr>
    </w:p>
    <w:p>
      <w:pPr>
        <w:rPr>
          <w:rFonts w:ascii="Arial" w:hAnsi="Arial" w:cs="Arial"/>
        </w:rPr>
      </w:pPr>
      <w:r>
        <w:rPr>
          <w:rFonts w:ascii="Arial" w:hAnsi="Arial" w:cs="Arial"/>
        </w:rPr>
        <w:drawing>
          <wp:inline distT="0" distB="0" distL="0" distR="0">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pPr>
        <w:pStyle w:val="28"/>
        <w:jc w:val="center"/>
        <w:rPr>
          <w:rFonts w:ascii="Arial" w:hAnsi="Arial" w:cs="Arial"/>
        </w:rPr>
      </w:pPr>
      <w:r>
        <w:rPr>
          <w:rFonts w:ascii="Arial" w:hAnsi="Arial" w:cs="Arial"/>
        </w:rPr>
        <w:t>Figure 6.4.1.4</w:t>
      </w:r>
      <w:r>
        <w:rPr>
          <w:rFonts w:hint="default" w:ascii="Arial" w:hAnsi="Arial" w:eastAsia="宋体" w:cs="Arial"/>
          <w:lang w:val="en-US" w:eastAsia="zh-CN"/>
        </w:rPr>
        <w:t>.1</w:t>
      </w:r>
      <w:r>
        <w:rPr>
          <w:rFonts w:ascii="Arial" w:hAnsi="Arial" w:cs="Arial"/>
        </w:rPr>
        <w:t>-3: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pPr>
        <w:pStyle w:val="28"/>
        <w:jc w:val="center"/>
        <w:rPr>
          <w:rFonts w:ascii="Arial" w:hAnsi="Arial" w:cs="Arial"/>
        </w:rPr>
      </w:pPr>
      <w:r>
        <w:rPr>
          <w:rFonts w:ascii="Arial" w:hAnsi="Arial" w:cs="Arial"/>
        </w:rPr>
        <w:t>Figure 6.4.1.4</w:t>
      </w:r>
      <w:r>
        <w:rPr>
          <w:rFonts w:hint="default" w:ascii="Arial" w:hAnsi="Arial" w:eastAsia="宋体" w:cs="Arial"/>
          <w:lang w:val="en-US" w:eastAsia="zh-CN"/>
        </w:rPr>
        <w:t>.1</w:t>
      </w:r>
      <w:r>
        <w:rPr>
          <w:rFonts w:ascii="Arial" w:hAnsi="Arial" w:cs="Arial"/>
        </w:rPr>
        <w:t>-4: Simulation results for Throughput Loss – Average of all users in the whole network</w:t>
      </w:r>
    </w:p>
    <w:p>
      <w:pPr>
        <w:rPr>
          <w:rFonts w:cs="Arial"/>
        </w:rPr>
      </w:pPr>
    </w:p>
    <w:p>
      <w:pPr>
        <w:rPr>
          <w:rFonts w:cs="Arial"/>
        </w:rPr>
      </w:pPr>
    </w:p>
    <w:p>
      <w:pPr>
        <w:pStyle w:val="5"/>
        <w:rPr>
          <w:lang w:val="sv-SE"/>
        </w:rPr>
      </w:pPr>
      <w:bookmarkStart w:id="608" w:name="_Toc11776"/>
      <w:bookmarkStart w:id="609" w:name="_Toc31186"/>
      <w:bookmarkStart w:id="610" w:name="_Toc32328"/>
      <w:bookmarkStart w:id="611" w:name="_Toc8241"/>
      <w:bookmarkStart w:id="612" w:name="_Toc1501"/>
      <w:bookmarkStart w:id="613" w:name="_Toc19831"/>
      <w:bookmarkStart w:id="614" w:name="_Toc26587"/>
      <w:bookmarkStart w:id="615" w:name="_Toc21469"/>
      <w:bookmarkStart w:id="616" w:name="_Toc6161"/>
      <w:r>
        <w:rPr>
          <w:lang w:val="sv-SE"/>
        </w:rPr>
        <w:t>6.4.1.5 Scenario 9: 2GHz ATG DL interfering TN DL</w:t>
      </w:r>
      <w:bookmarkEnd w:id="608"/>
      <w:bookmarkEnd w:id="609"/>
      <w:bookmarkEnd w:id="610"/>
      <w:bookmarkEnd w:id="611"/>
      <w:bookmarkEnd w:id="612"/>
      <w:bookmarkEnd w:id="613"/>
      <w:bookmarkEnd w:id="614"/>
      <w:bookmarkEnd w:id="615"/>
      <w:bookmarkEnd w:id="616"/>
    </w:p>
    <w:p>
      <w:pPr>
        <w:rPr>
          <w:rFonts w:cs="Arial"/>
          <w:lang w:val="sv-SE"/>
        </w:rPr>
      </w:pPr>
    </w:p>
    <w:p>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pPr>
        <w:rPr>
          <w:rFonts w:cs="Arial"/>
        </w:rPr>
      </w:pPr>
    </w:p>
    <w:p>
      <w:pPr>
        <w:jc w:val="center"/>
        <w:rPr>
          <w:rFonts w:ascii="Arial" w:hAnsi="Arial" w:cs="Arial"/>
          <w:b/>
          <w:bCs/>
        </w:rPr>
      </w:pPr>
      <w:r>
        <w:rPr>
          <w:rFonts w:ascii="Arial" w:hAnsi="Arial" w:cs="Arial"/>
          <w:b/>
          <w:bCs/>
        </w:rPr>
        <w:t>Table 6.4.1.5-1: Simulation results for Scenario 9 – 2GHz ATG DL interfering TN DL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bottom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617" w:name="_Toc25389"/>
      <w:bookmarkStart w:id="618" w:name="_Toc14786"/>
      <w:bookmarkStart w:id="619" w:name="_Toc27055"/>
      <w:bookmarkStart w:id="620" w:name="_Toc17808"/>
      <w:bookmarkStart w:id="621" w:name="_Toc31383"/>
      <w:bookmarkStart w:id="622" w:name="_Toc17262"/>
      <w:bookmarkStart w:id="623" w:name="_Toc1649"/>
      <w:bookmarkStart w:id="624" w:name="_Toc14723"/>
      <w:bookmarkStart w:id="625" w:name="_Toc24155"/>
      <w:r>
        <w:rPr>
          <w:rFonts w:hint="eastAsia"/>
          <w:lang w:val="en-US" w:eastAsia="zh-CN"/>
        </w:rPr>
        <w:t xml:space="preserve">6.4.1.5.1 </w:t>
      </w:r>
      <w:r>
        <w:t>Non-Subarray model</w:t>
      </w:r>
      <w:bookmarkEnd w:id="617"/>
      <w:bookmarkEnd w:id="618"/>
      <w:bookmarkEnd w:id="619"/>
      <w:bookmarkEnd w:id="620"/>
      <w:bookmarkEnd w:id="621"/>
      <w:bookmarkEnd w:id="622"/>
      <w:bookmarkEnd w:id="623"/>
      <w:bookmarkEnd w:id="624"/>
      <w:bookmarkEnd w:id="625"/>
    </w:p>
    <w:p>
      <w:pPr>
        <w:rPr>
          <w:rFonts w:cs="Arial"/>
        </w:rPr>
      </w:pPr>
    </w:p>
    <w:p>
      <w:pPr>
        <w:rPr>
          <w:rFonts w:cs="Arial"/>
        </w:rPr>
      </w:pPr>
    </w:p>
    <w:p>
      <w:pPr>
        <w:rPr>
          <w:rFonts w:ascii="Arial" w:hAnsi="Arial" w:cs="Arial"/>
        </w:rPr>
      </w:pPr>
      <w:r>
        <w:rPr>
          <w:rFonts w:ascii="Arial" w:hAnsi="Arial" w:cs="Arial"/>
        </w:rPr>
        <w:drawing>
          <wp:inline distT="0" distB="0" distL="0" distR="0">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.1</w:t>
      </w:r>
      <w:r>
        <w:rPr>
          <w:rFonts w:ascii="Arial" w:hAnsi="Arial" w:cs="Arial"/>
        </w:rPr>
        <w:t>-3: Simulation results for Throughput Loss – 5% of users within cell of largest throughput loss of victim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.1</w:t>
      </w:r>
      <w:r>
        <w:rPr>
          <w:rFonts w:ascii="Arial" w:hAnsi="Arial" w:cs="Arial"/>
        </w:rPr>
        <w:t>-4: Simulation results for Throughput Loss – Average of all users within cell of largest throughput loss of victim network</w:t>
      </w:r>
    </w:p>
    <w:p>
      <w:pPr>
        <w:rPr>
          <w:rFonts w:cs="Arial"/>
        </w:rPr>
      </w:pPr>
    </w:p>
    <w:p>
      <w:pPr>
        <w:pStyle w:val="6"/>
      </w:pPr>
      <w:bookmarkStart w:id="626" w:name="_Toc31972"/>
      <w:bookmarkStart w:id="627" w:name="_Toc16057"/>
      <w:bookmarkStart w:id="628" w:name="_Toc14050"/>
      <w:bookmarkStart w:id="629" w:name="_Toc23715"/>
      <w:bookmarkStart w:id="630" w:name="_Toc27661"/>
      <w:bookmarkStart w:id="631" w:name="_Toc32496"/>
      <w:bookmarkStart w:id="632" w:name="_Toc22835"/>
      <w:bookmarkStart w:id="633" w:name="_Toc19716"/>
      <w:bookmarkStart w:id="634" w:name="_Toc11052"/>
      <w:r>
        <w:rPr>
          <w:rFonts w:hint="eastAsia"/>
          <w:lang w:val="en-US" w:eastAsia="zh-CN"/>
        </w:rPr>
        <w:t xml:space="preserve">6.4.1.5.2 </w:t>
      </w:r>
      <w:r>
        <w:t>Subarray model</w:t>
      </w:r>
      <w:bookmarkEnd w:id="626"/>
      <w:bookmarkEnd w:id="627"/>
      <w:bookmarkEnd w:id="628"/>
      <w:bookmarkEnd w:id="629"/>
      <w:bookmarkEnd w:id="630"/>
      <w:bookmarkEnd w:id="631"/>
      <w:bookmarkEnd w:id="632"/>
      <w:bookmarkEnd w:id="633"/>
      <w:bookmarkEnd w:id="634"/>
    </w:p>
    <w:p>
      <w:pPr>
        <w:rPr>
          <w:rFonts w:ascii="Arial" w:hAnsi="Arial" w:cs="Arial"/>
        </w:rPr>
      </w:pPr>
      <w:r>
        <w:rPr>
          <w:rFonts w:ascii="Arial" w:hAnsi="Arial" w:cs="Arial"/>
        </w:rPr>
        <w:drawing>
          <wp:inline distT="0" distB="0" distL="0" distR="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1</w:t>
      </w:r>
      <w:r>
        <w:rPr>
          <w:rFonts w:ascii="Arial" w:hAnsi="Arial" w:cs="Arial"/>
        </w:rPr>
        <w:t>: Simulation results for Throughput Loss - 5% of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2</w:t>
      </w:r>
      <w:r>
        <w:rPr>
          <w:rFonts w:ascii="Arial" w:hAnsi="Arial" w:cs="Arial"/>
        </w:rPr>
        <w:t>: Simulation results for Throughput Loss – Average of all users in the whole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3</w:t>
      </w:r>
      <w:r>
        <w:rPr>
          <w:rFonts w:ascii="Arial" w:hAnsi="Arial" w:cs="Arial"/>
        </w:rPr>
        <w:t>: Simulation results for Throughput Loss – 5% of users within cell of largest throughput loss of victim network</w:t>
      </w: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pPr>
        <w:pStyle w:val="28"/>
        <w:jc w:val="center"/>
        <w:rPr>
          <w:rFonts w:ascii="Arial" w:hAnsi="Arial" w:cs="Arial"/>
        </w:rPr>
      </w:pPr>
      <w:r>
        <w:rPr>
          <w:rFonts w:ascii="Arial" w:hAnsi="Arial" w:cs="Arial"/>
        </w:rPr>
        <w:t>Figure 6.4.1.5</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4</w:t>
      </w:r>
      <w:r>
        <w:rPr>
          <w:rFonts w:ascii="Arial" w:hAnsi="Arial" w:cs="Arial"/>
        </w:rPr>
        <w:t>: Simulation results for Throughput Loss – Average of all users within cell of largest throughput loss of victim network</w:t>
      </w:r>
    </w:p>
    <w:p>
      <w:pPr>
        <w:rPr>
          <w:rFonts w:cs="Arial"/>
        </w:rPr>
      </w:pPr>
    </w:p>
    <w:p>
      <w:pPr>
        <w:rPr>
          <w:rFonts w:cs="Arial"/>
        </w:rPr>
      </w:pPr>
    </w:p>
    <w:p>
      <w:pPr>
        <w:pStyle w:val="5"/>
        <w:rPr>
          <w:lang w:val="sv-SE"/>
        </w:rPr>
      </w:pPr>
      <w:bookmarkStart w:id="635" w:name="_Toc1455"/>
      <w:bookmarkStart w:id="636" w:name="_Toc29257"/>
      <w:bookmarkStart w:id="637" w:name="_Toc30007"/>
      <w:bookmarkStart w:id="638" w:name="_Toc28935"/>
      <w:bookmarkStart w:id="639" w:name="_Toc19886"/>
      <w:bookmarkStart w:id="640" w:name="_Toc26535"/>
      <w:bookmarkStart w:id="641" w:name="_Toc8589"/>
      <w:bookmarkStart w:id="642" w:name="_Toc2068"/>
      <w:bookmarkStart w:id="643" w:name="_Toc25690"/>
      <w:r>
        <w:rPr>
          <w:lang w:val="sv-SE"/>
        </w:rPr>
        <w:t>6.4.1.6 Scenario 10: 2GHz ATG UL interfering TN UL</w:t>
      </w:r>
      <w:bookmarkEnd w:id="635"/>
      <w:bookmarkEnd w:id="636"/>
      <w:bookmarkEnd w:id="637"/>
      <w:bookmarkEnd w:id="638"/>
      <w:bookmarkEnd w:id="639"/>
      <w:bookmarkEnd w:id="640"/>
      <w:bookmarkEnd w:id="641"/>
      <w:bookmarkEnd w:id="642"/>
      <w:bookmarkEnd w:id="643"/>
    </w:p>
    <w:p>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pPr>
        <w:jc w:val="center"/>
        <w:rPr>
          <w:rFonts w:ascii="Arial" w:hAnsi="Arial" w:cs="Arial"/>
          <w:b/>
          <w:bCs/>
        </w:rPr>
      </w:pPr>
      <w:r>
        <w:rPr>
          <w:rFonts w:ascii="Arial" w:hAnsi="Arial" w:cs="Arial"/>
          <w:b/>
          <w:bCs/>
        </w:rPr>
        <w:t>Table 6.4.1.6-1: Simulation results for Scenario 10 – 2GHz ATG UL interfering TN UL</w:t>
      </w:r>
    </w:p>
    <w:tbl>
      <w:tblPr>
        <w:tblStyle w:val="49"/>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559"/>
        <w:gridCol w:w="3969"/>
        <w:gridCol w:w="1134"/>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559"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96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2552"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559" w:type="dxa"/>
            <w:vMerge w:val="continue"/>
            <w:tcBorders>
              <w:left w:val="single" w:color="auto" w:sz="4" w:space="0"/>
              <w:bottom w:val="single" w:color="auto" w:sz="4" w:space="0"/>
              <w:right w:val="single" w:color="auto" w:sz="4" w:space="0"/>
            </w:tcBorders>
          </w:tcPr>
          <w:p>
            <w:pPr>
              <w:keepNext/>
              <w:keepLines/>
              <w:spacing w:after="0"/>
              <w:jc w:val="center"/>
              <w:rPr>
                <w:rFonts w:eastAsia="Yu Mincho" w:cs="Arial"/>
                <w:b/>
                <w:lang w:eastAsia="zh-CN" w:bidi="ar"/>
              </w:rPr>
            </w:pPr>
          </w:p>
        </w:tc>
        <w:tc>
          <w:tcPr>
            <w:tcW w:w="3969"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34"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559"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4.38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413" w:type="dxa"/>
            <w:vMerge w:val="continue"/>
            <w:tcBorders>
              <w:left w:val="single" w:color="auto" w:sz="4" w:space="0"/>
              <w:right w:val="single" w:color="auto" w:sz="4" w:space="0"/>
            </w:tcBorders>
            <w:vAlign w:val="center"/>
          </w:tcPr>
          <w:p>
            <w:pPr>
              <w:jc w:val="center"/>
              <w:rPr>
                <w:rFonts w:eastAsia="Yu Mincho" w:cs="Arial"/>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413" w:type="dxa"/>
            <w:vMerge w:val="continue"/>
            <w:tcBorders>
              <w:left w:val="single" w:color="auto" w:sz="4" w:space="0"/>
              <w:right w:val="single" w:color="auto" w:sz="4" w:space="0"/>
            </w:tcBorders>
            <w:vAlign w:val="center"/>
          </w:tcPr>
          <w:p>
            <w:pPr>
              <w:rPr>
                <w:rFonts w:eastAsia="Yu Mincho" w:cs="Arial"/>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 w:hRule="atLeast"/>
        </w:trPr>
        <w:tc>
          <w:tcPr>
            <w:tcW w:w="1413"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cs="Arial"/>
                <w:highlight w:val="yellow"/>
                <w:lang w:eastAsia="zh-CN"/>
              </w:rPr>
            </w:pPr>
          </w:p>
        </w:tc>
        <w:tc>
          <w:tcPr>
            <w:tcW w:w="1559" w:type="dxa"/>
            <w:vMerge w:val="continue"/>
            <w:tcBorders>
              <w:left w:val="single" w:color="auto" w:sz="4" w:space="0"/>
              <w:bottom w:val="single" w:color="auto" w:sz="4" w:space="0"/>
              <w:right w:val="single" w:color="auto" w:sz="4" w:space="0"/>
            </w:tcBorders>
          </w:tcPr>
          <w:p>
            <w:pPr>
              <w:keepNext/>
              <w:keepLines/>
              <w:spacing w:after="0"/>
              <w:jc w:val="center"/>
              <w:rPr>
                <w:rFonts w:eastAsia="Malgun Gothic" w:cs="Arial"/>
                <w:lang w:eastAsia="ko" w:bidi="ar"/>
              </w:rPr>
            </w:pPr>
          </w:p>
        </w:tc>
        <w:tc>
          <w:tcPr>
            <w:tcW w:w="3969" w:type="dxa"/>
            <w:tcBorders>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color="auto" w:sz="4" w:space="0"/>
              <w:bottom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644" w:name="_Toc11648"/>
      <w:bookmarkStart w:id="645" w:name="_Toc12202"/>
      <w:bookmarkStart w:id="646" w:name="_Toc7870"/>
      <w:bookmarkStart w:id="647" w:name="_Toc27650"/>
      <w:bookmarkStart w:id="648" w:name="_Toc22514"/>
      <w:bookmarkStart w:id="649" w:name="_Toc16763"/>
      <w:bookmarkStart w:id="650" w:name="_Toc25103"/>
      <w:bookmarkStart w:id="651" w:name="_Toc27992"/>
      <w:bookmarkStart w:id="652" w:name="_Toc7646"/>
      <w:r>
        <w:rPr>
          <w:rFonts w:hint="eastAsia"/>
          <w:lang w:val="en-US" w:eastAsia="zh-CN"/>
        </w:rPr>
        <w:t xml:space="preserve">6.4.1.6.1 </w:t>
      </w:r>
      <w:r>
        <w:t>Non-Subarray model</w:t>
      </w:r>
      <w:bookmarkEnd w:id="644"/>
      <w:bookmarkEnd w:id="645"/>
      <w:bookmarkEnd w:id="646"/>
      <w:bookmarkEnd w:id="647"/>
      <w:bookmarkEnd w:id="648"/>
      <w:bookmarkEnd w:id="649"/>
      <w:bookmarkEnd w:id="650"/>
      <w:bookmarkEnd w:id="651"/>
      <w:bookmarkEnd w:id="652"/>
    </w:p>
    <w:p>
      <w:pPr>
        <w:pStyle w:val="7"/>
      </w:pPr>
      <w:bookmarkStart w:id="653" w:name="_Toc30781"/>
      <w:bookmarkStart w:id="654" w:name="_Toc29658"/>
      <w:bookmarkStart w:id="655" w:name="_Toc26207"/>
      <w:bookmarkStart w:id="656" w:name="_Toc22351"/>
      <w:bookmarkStart w:id="657" w:name="_Toc30750"/>
      <w:r>
        <w:t>Maximum distance between ATG BS and ATG UE is 100 km</w:t>
      </w:r>
      <w:bookmarkEnd w:id="653"/>
      <w:bookmarkEnd w:id="654"/>
      <w:bookmarkEnd w:id="655"/>
      <w:bookmarkEnd w:id="656"/>
      <w:bookmarkEnd w:id="657"/>
    </w:p>
    <w:p>
      <w:pPr>
        <w:keepNext/>
        <w:rPr>
          <w:rFonts w:ascii="Arial" w:hAnsi="Arial" w:cs="Arial"/>
        </w:rPr>
      </w:pPr>
      <w:r>
        <w:rPr>
          <w:rFonts w:ascii="Arial" w:hAnsi="Arial" w:cs="Arial"/>
        </w:rPr>
        <w:drawing>
          <wp:inline distT="0" distB="0" distL="0" distR="0">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ascii="Arial" w:hAnsi="Arial" w:cs="Arial"/>
        </w:rPr>
      </w:pPr>
    </w:p>
    <w:p>
      <w:pPr>
        <w:rPr>
          <w:rFonts w:ascii="Arial" w:hAnsi="Arial" w:cs="Arial"/>
        </w:rPr>
      </w:pPr>
    </w:p>
    <w:p>
      <w:pPr>
        <w:rPr>
          <w:rFonts w:ascii="Arial" w:hAnsi="Arial" w:cs="Arial"/>
        </w:rPr>
      </w:pPr>
    </w:p>
    <w:p>
      <w:pPr>
        <w:rPr>
          <w:rFonts w:ascii="Arial" w:hAnsi="Arial" w:cs="Arial"/>
        </w:rPr>
      </w:pPr>
      <w:r>
        <w:rPr>
          <w:rFonts w:ascii="Arial" w:hAnsi="Arial" w:cs="Arial"/>
        </w:rPr>
        <w:drawing>
          <wp:inline distT="0" distB="0" distL="0" distR="0">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-3: Simulation results for Throughput Loss – 5% of users within cell of largest throughput loss of victim network</w:t>
      </w:r>
    </w:p>
    <w:p>
      <w:pPr>
        <w:rPr>
          <w:rFonts w:ascii="Arial" w:hAnsi="Arial" w:cs="Arial"/>
        </w:rPr>
      </w:pPr>
    </w:p>
    <w:p>
      <w:pPr>
        <w:rPr>
          <w:rFonts w:ascii="Arial" w:hAnsi="Arial" w:cs="Arial"/>
        </w:rPr>
      </w:pPr>
      <w:r>
        <w:rPr>
          <w:rFonts w:ascii="Arial" w:hAnsi="Arial" w:cs="Arial"/>
        </w:rPr>
        <w:drawing>
          <wp:inline distT="0" distB="0" distL="0" distR="0">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-4: Simulation results for Throughput Loss – Average of all users within cell of largest throughput loss of victim network</w:t>
      </w:r>
    </w:p>
    <w:p>
      <w:pPr>
        <w:rPr>
          <w:rFonts w:cs="Arial"/>
        </w:rPr>
      </w:pPr>
    </w:p>
    <w:p>
      <w:pPr>
        <w:pStyle w:val="7"/>
      </w:pPr>
      <w:bookmarkStart w:id="658" w:name="_Toc305"/>
      <w:bookmarkStart w:id="659" w:name="_Toc7267"/>
      <w:bookmarkStart w:id="660" w:name="_Toc29522"/>
      <w:bookmarkStart w:id="661" w:name="_Toc11049"/>
      <w:bookmarkStart w:id="662" w:name="_Toc13669"/>
      <w:r>
        <w:t>Maximum distance between ATG BS and ATG UE is 300 km</w:t>
      </w:r>
      <w:bookmarkEnd w:id="658"/>
      <w:bookmarkEnd w:id="659"/>
      <w:bookmarkEnd w:id="660"/>
      <w:bookmarkEnd w:id="661"/>
      <w:bookmarkEnd w:id="662"/>
    </w:p>
    <w:p>
      <w:pPr>
        <w:rPr>
          <w:rFonts w:ascii="Arial" w:hAnsi="Arial" w:cs="Arial"/>
        </w:rPr>
      </w:pPr>
      <w:r>
        <w:rPr>
          <w:rFonts w:ascii="Arial" w:hAnsi="Arial" w:cs="Arial"/>
        </w:rPr>
        <w:drawing>
          <wp:inline distT="0" distB="0" distL="0" distR="0">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-5: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-6: Simulation results for Throughput Loss – Average of all users in the whole network</w:t>
      </w:r>
    </w:p>
    <w:p>
      <w:pPr>
        <w:rPr>
          <w:rFonts w:ascii="Arial" w:hAnsi="Arial" w:cs="Arial"/>
        </w:rPr>
      </w:pPr>
      <w:r>
        <w:rPr>
          <w:rFonts w:ascii="Arial" w:hAnsi="Arial" w:cs="Arial"/>
        </w:rPr>
        <w:drawing>
          <wp:inline distT="0" distB="0" distL="0" distR="0">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-7: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.1</w:t>
      </w:r>
      <w:r>
        <w:rPr>
          <w:rFonts w:ascii="Arial" w:hAnsi="Arial" w:cs="Arial"/>
        </w:rPr>
        <w:t>-8: Simulation results for Throughput Loss – Average of all users within cell of largest throughput loss of victim network</w:t>
      </w:r>
    </w:p>
    <w:p>
      <w:pPr>
        <w:pStyle w:val="6"/>
      </w:pPr>
      <w:bookmarkStart w:id="663" w:name="_Toc4494"/>
      <w:bookmarkStart w:id="664" w:name="_Toc9492"/>
      <w:bookmarkStart w:id="665" w:name="_Toc20285"/>
      <w:bookmarkStart w:id="666" w:name="_Toc6523"/>
      <w:bookmarkStart w:id="667" w:name="_Toc21534"/>
      <w:bookmarkStart w:id="668" w:name="_Toc1801"/>
      <w:bookmarkStart w:id="669" w:name="_Toc394"/>
      <w:bookmarkStart w:id="670" w:name="_Toc21665"/>
      <w:bookmarkStart w:id="671" w:name="_Toc13909"/>
      <w:r>
        <w:rPr>
          <w:rFonts w:hint="eastAsia"/>
          <w:lang w:val="en-US" w:eastAsia="zh-CN"/>
        </w:rPr>
        <w:t xml:space="preserve">6.4.1.6.2 </w:t>
      </w:r>
      <w:r>
        <w:t>Subarray model</w:t>
      </w:r>
      <w:bookmarkEnd w:id="663"/>
      <w:bookmarkEnd w:id="664"/>
      <w:bookmarkEnd w:id="665"/>
      <w:bookmarkEnd w:id="666"/>
      <w:bookmarkEnd w:id="667"/>
      <w:bookmarkEnd w:id="668"/>
      <w:bookmarkEnd w:id="669"/>
      <w:bookmarkEnd w:id="670"/>
      <w:bookmarkEnd w:id="671"/>
    </w:p>
    <w:p>
      <w:pPr>
        <w:pStyle w:val="7"/>
      </w:pPr>
      <w:bookmarkStart w:id="672" w:name="_Toc8551"/>
      <w:bookmarkStart w:id="673" w:name="_Toc25834"/>
      <w:bookmarkStart w:id="674" w:name="_Toc23601"/>
      <w:bookmarkStart w:id="675" w:name="_Toc24383"/>
      <w:bookmarkStart w:id="676" w:name="_Toc9334"/>
      <w:r>
        <w:t>Maximum distance between ATG BS and ATG UE is 100 km</w:t>
      </w:r>
      <w:bookmarkEnd w:id="672"/>
      <w:bookmarkEnd w:id="673"/>
      <w:bookmarkEnd w:id="674"/>
      <w:bookmarkEnd w:id="675"/>
      <w:bookmarkEnd w:id="676"/>
    </w:p>
    <w:p>
      <w:pPr>
        <w:rPr>
          <w:rFonts w:ascii="Arial" w:hAnsi="Arial" w:cs="Arial"/>
        </w:rPr>
      </w:pPr>
      <w:r>
        <w:rPr>
          <w:rFonts w:ascii="Arial" w:hAnsi="Arial" w:cs="Arial"/>
        </w:rPr>
        <w:drawing>
          <wp:inline distT="0" distB="0" distL="0" distR="0">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1</w:t>
      </w:r>
      <w:r>
        <w:rPr>
          <w:rFonts w:ascii="Arial" w:hAnsi="Arial" w:cs="Arial"/>
        </w:rPr>
        <w:t>: Simulation results for Throughput Loss - 5% of users in the whole network</w:t>
      </w:r>
    </w:p>
    <w:p>
      <w:pPr>
        <w:rPr>
          <w:rFonts w:ascii="Arial" w:hAnsi="Arial" w:cs="Arial"/>
        </w:rPr>
      </w:pPr>
      <w:r>
        <w:rPr>
          <w:rFonts w:ascii="Arial" w:hAnsi="Arial" w:cs="Arial"/>
        </w:rPr>
        <w:drawing>
          <wp:inline distT="0" distB="0" distL="0" distR="0">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2</w:t>
      </w:r>
      <w:r>
        <w:rPr>
          <w:rFonts w:ascii="Arial" w:hAnsi="Arial" w:cs="Arial"/>
        </w:rPr>
        <w:t>: Simulation results for Throughput Loss – Average of all users in the whole network</w:t>
      </w:r>
    </w:p>
    <w:p>
      <w:pPr>
        <w:rPr>
          <w:rFonts w:ascii="Arial" w:hAnsi="Arial" w:cs="Arial"/>
        </w:rPr>
      </w:pPr>
      <w:r>
        <w:rPr>
          <w:rFonts w:ascii="Arial" w:hAnsi="Arial" w:cs="Arial"/>
        </w:rPr>
        <w:drawing>
          <wp:inline distT="0" distB="0" distL="0" distR="0">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3</w:t>
      </w:r>
      <w:r>
        <w:rPr>
          <w:rFonts w:ascii="Arial" w:hAnsi="Arial" w:cs="Arial"/>
        </w:rPr>
        <w:t>: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4</w:t>
      </w:r>
      <w:r>
        <w:rPr>
          <w:rFonts w:ascii="Arial" w:hAnsi="Arial" w:cs="Arial"/>
        </w:rPr>
        <w:t>: Simulation results for Throughput Loss – Average of all users within cell of largest throughput loss of victim network</w:t>
      </w:r>
    </w:p>
    <w:p>
      <w:pPr>
        <w:pStyle w:val="7"/>
      </w:pPr>
      <w:bookmarkStart w:id="677" w:name="_Toc13161"/>
      <w:bookmarkStart w:id="678" w:name="_Toc20711"/>
      <w:bookmarkStart w:id="679" w:name="_Toc12952"/>
      <w:bookmarkStart w:id="680" w:name="_Toc28295"/>
      <w:bookmarkStart w:id="681" w:name="_Toc23888"/>
      <w:r>
        <w:t>Maximum distance between ATG BS and ATG UE is 300 km</w:t>
      </w:r>
      <w:bookmarkEnd w:id="677"/>
      <w:bookmarkEnd w:id="678"/>
      <w:bookmarkEnd w:id="679"/>
      <w:bookmarkEnd w:id="680"/>
      <w:bookmarkEnd w:id="681"/>
    </w:p>
    <w:p>
      <w:pPr>
        <w:rPr>
          <w:rFonts w:ascii="Arial" w:hAnsi="Arial" w:cs="Arial"/>
        </w:rPr>
      </w:pPr>
      <w:r>
        <w:rPr>
          <w:rFonts w:ascii="Arial" w:hAnsi="Arial" w:cs="Arial"/>
        </w:rPr>
        <w:drawing>
          <wp:inline distT="0" distB="0" distL="0" distR="0">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5</w:t>
      </w:r>
      <w:r>
        <w:rPr>
          <w:rFonts w:ascii="Arial" w:hAnsi="Arial" w:cs="Arial"/>
        </w:rPr>
        <w:t>: Simulation results for Throughput Loss - 5% of users in the whole network</w:t>
      </w:r>
    </w:p>
    <w:p>
      <w:pPr>
        <w:rPr>
          <w:rFonts w:ascii="Arial" w:hAnsi="Arial" w:cs="Arial"/>
        </w:rPr>
      </w:pPr>
    </w:p>
    <w:p>
      <w:pPr>
        <w:rPr>
          <w:rFonts w:ascii="Arial" w:hAnsi="Arial" w:cs="Arial"/>
        </w:rPr>
      </w:pPr>
      <w:r>
        <w:rPr>
          <w:rFonts w:ascii="Arial" w:hAnsi="Arial" w:cs="Arial"/>
        </w:rPr>
        <w:drawing>
          <wp:inline distT="0" distB="0" distL="0" distR="0">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6</w:t>
      </w:r>
      <w:r>
        <w:rPr>
          <w:rFonts w:ascii="Arial" w:hAnsi="Arial" w:cs="Arial"/>
        </w:rPr>
        <w:t>: Simulation results for Throughput Loss – Average of all users in the whole network</w:t>
      </w:r>
    </w:p>
    <w:p>
      <w:pPr>
        <w:rPr>
          <w:rFonts w:ascii="Arial" w:hAnsi="Arial" w:cs="Arial"/>
        </w:rPr>
      </w:pPr>
      <w:r>
        <w:rPr>
          <w:rFonts w:ascii="Arial" w:hAnsi="Arial" w:cs="Arial"/>
        </w:rPr>
        <w:drawing>
          <wp:inline distT="0" distB="0" distL="0" distR="0">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7</w:t>
      </w:r>
      <w:r>
        <w:rPr>
          <w:rFonts w:ascii="Arial" w:hAnsi="Arial" w:cs="Arial"/>
        </w:rPr>
        <w:t>: Simulation results for Throughput Loss – 5% of users within cell of largest throughput loss of victim network</w:t>
      </w:r>
    </w:p>
    <w:p>
      <w:pPr>
        <w:rPr>
          <w:rFonts w:ascii="Arial" w:hAnsi="Arial" w:cs="Arial"/>
        </w:rPr>
      </w:pPr>
      <w:r>
        <w:rPr>
          <w:rFonts w:ascii="Arial" w:hAnsi="Arial" w:cs="Arial"/>
        </w:rPr>
        <w:drawing>
          <wp:inline distT="0" distB="0" distL="0" distR="0">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pPr>
        <w:pStyle w:val="28"/>
        <w:jc w:val="center"/>
        <w:rPr>
          <w:rFonts w:ascii="Arial" w:hAnsi="Arial" w:cs="Arial"/>
        </w:rPr>
      </w:pPr>
      <w:r>
        <w:rPr>
          <w:rFonts w:ascii="Arial" w:hAnsi="Arial" w:cs="Arial"/>
        </w:rPr>
        <w:t>Figure 6.4.1.6</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8</w:t>
      </w:r>
      <w:r>
        <w:rPr>
          <w:rFonts w:ascii="Arial" w:hAnsi="Arial" w:cs="Arial"/>
        </w:rPr>
        <w:t>: Simulation results for Throughput Loss – Average of all users within cell of largest throughput loss of victim network</w:t>
      </w:r>
    </w:p>
    <w:p>
      <w:pPr>
        <w:rPr>
          <w:rFonts w:cs="Arial"/>
        </w:rPr>
      </w:pPr>
    </w:p>
    <w:p>
      <w:pPr>
        <w:pStyle w:val="5"/>
        <w:rPr>
          <w:lang w:val="sv-SE"/>
        </w:rPr>
      </w:pPr>
      <w:bookmarkStart w:id="682" w:name="_Toc27872"/>
      <w:bookmarkStart w:id="683" w:name="_Toc7160"/>
      <w:bookmarkStart w:id="684" w:name="_Toc4392"/>
      <w:bookmarkStart w:id="685" w:name="_Toc28788"/>
      <w:bookmarkStart w:id="686" w:name="_Toc26322"/>
      <w:bookmarkStart w:id="687" w:name="_Toc20590"/>
      <w:bookmarkStart w:id="688" w:name="_Toc14086"/>
      <w:bookmarkStart w:id="689" w:name="_Toc2618"/>
      <w:bookmarkStart w:id="690" w:name="_Toc346"/>
      <w:r>
        <w:rPr>
          <w:lang w:val="sv-SE"/>
        </w:rPr>
        <w:t>6.4.1.7 Scenario 11: 2GHz TN DL interfering ATG DL</w:t>
      </w:r>
      <w:bookmarkEnd w:id="682"/>
      <w:bookmarkEnd w:id="683"/>
      <w:bookmarkEnd w:id="684"/>
      <w:bookmarkEnd w:id="685"/>
      <w:bookmarkEnd w:id="686"/>
      <w:bookmarkEnd w:id="687"/>
      <w:bookmarkEnd w:id="688"/>
      <w:bookmarkEnd w:id="689"/>
      <w:bookmarkEnd w:id="690"/>
    </w:p>
    <w:p>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pPr>
        <w:jc w:val="center"/>
        <w:rPr>
          <w:rFonts w:ascii="Arial" w:hAnsi="Arial" w:cs="Arial"/>
          <w:b/>
          <w:bCs/>
        </w:rPr>
      </w:pPr>
      <w:r>
        <w:rPr>
          <w:rFonts w:ascii="Arial" w:hAnsi="Arial" w:cs="Arial"/>
          <w:b/>
          <w:bCs/>
        </w:rPr>
        <w:t>Table 6.4.1.7-1: Simulation results for Scenario 11 – 2GHz TN DL interfering ATG DL</w:t>
      </w:r>
    </w:p>
    <w:tbl>
      <w:tblPr>
        <w:tblStyle w:val="49"/>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9"/>
        <w:gridCol w:w="1127"/>
        <w:gridCol w:w="3152"/>
        <w:gridCol w:w="1719"/>
        <w:gridCol w:w="1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34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127" w:type="dxa"/>
            <w:vMerge w:val="restart"/>
            <w:tcBorders>
              <w:top w:val="single" w:color="auto" w:sz="4" w:space="0"/>
              <w:left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UE ACS 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3439" w:type="dxa"/>
            <w:gridSpan w:val="2"/>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127" w:type="dxa"/>
            <w:vMerge w:val="continue"/>
            <w:tcBorders>
              <w:left w:val="single" w:color="auto" w:sz="4" w:space="0"/>
              <w:right w:val="single" w:color="auto" w:sz="4" w:space="0"/>
            </w:tcBorders>
          </w:tcPr>
          <w:p>
            <w:pPr>
              <w:keepNext/>
              <w:keepLines/>
              <w:spacing w:after="0"/>
              <w:jc w:val="center"/>
              <w:rPr>
                <w:rFonts w:eastAsia="Yu Mincho" w:cs="Arial"/>
                <w:b/>
                <w:lang w:eastAsia="zh-CN" w:bidi="ar"/>
              </w:rPr>
            </w:pPr>
          </w:p>
        </w:tc>
        <w:tc>
          <w:tcPr>
            <w:tcW w:w="3152" w:type="dxa"/>
            <w:vMerge w:val="continue"/>
            <w:tcBorders>
              <w:left w:val="single" w:color="auto" w:sz="4" w:space="0"/>
              <w:right w:val="single" w:color="auto" w:sz="4" w:space="0"/>
            </w:tcBorders>
            <w:vAlign w:val="center"/>
          </w:tcPr>
          <w:p>
            <w:pPr>
              <w:keepNext/>
              <w:keepLines/>
              <w:spacing w:after="0"/>
              <w:jc w:val="center"/>
              <w:rPr>
                <w:rFonts w:eastAsia="Yu Mincho" w:cs="Arial"/>
                <w:b/>
                <w:lang w:val="zh-CN" w:eastAsia="zh-CN" w:bidi="ar"/>
              </w:rPr>
            </w:pPr>
          </w:p>
        </w:tc>
        <w:tc>
          <w:tcPr>
            <w:tcW w:w="1719"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bidi="ar"/>
              </w:rPr>
            </w:pPr>
            <w:r>
              <w:rPr>
                <w:rFonts w:eastAsia="Yu Mincho" w:cs="Arial"/>
                <w:b/>
                <w:lang w:eastAsia="zh-CN" w:bidi="ar"/>
              </w:rPr>
              <w:t>300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127"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49" w:type="dxa"/>
            <w:vMerge w:val="continue"/>
            <w:tcBorders>
              <w:left w:val="single" w:color="auto" w:sz="4" w:space="0"/>
              <w:right w:val="single" w:color="auto" w:sz="4" w:space="0"/>
            </w:tcBorders>
            <w:vAlign w:val="center"/>
          </w:tcPr>
          <w:p>
            <w:pPr>
              <w:jc w:val="cente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349" w:type="dxa"/>
            <w:vMerge w:val="continue"/>
            <w:tcBorders>
              <w:left w:val="single" w:color="auto" w:sz="4" w:space="0"/>
              <w:right w:val="single" w:color="auto" w:sz="4" w:space="0"/>
            </w:tcBorders>
            <w:vAlign w:val="center"/>
          </w:tcPr>
          <w:p>
            <w:pPr>
              <w:jc w:val="cente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8.21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4.08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sv-SE"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val="en-IN" w:eastAsia="k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349" w:type="dxa"/>
            <w:vMerge w:val="continue"/>
            <w:tcBorders>
              <w:left w:val="single" w:color="auto" w:sz="4" w:space="0"/>
              <w:right w:val="single" w:color="auto" w:sz="4" w:space="0"/>
            </w:tcBorders>
            <w:vAlign w:val="center"/>
          </w:tcPr>
          <w:p>
            <w:pPr>
              <w:rPr>
                <w:rFonts w:eastAsia="Yu Mincho" w:cs="Arial"/>
              </w:rPr>
            </w:pPr>
          </w:p>
        </w:tc>
        <w:tc>
          <w:tcPr>
            <w:tcW w:w="1127"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3152"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691" w:name="_Toc1077"/>
      <w:bookmarkStart w:id="692" w:name="_Toc29398"/>
      <w:bookmarkStart w:id="693" w:name="_Toc20686"/>
      <w:bookmarkStart w:id="694" w:name="_Toc4379"/>
      <w:bookmarkStart w:id="695" w:name="_Toc22802"/>
      <w:bookmarkStart w:id="696" w:name="_Toc11396"/>
      <w:bookmarkStart w:id="697" w:name="_Toc30203"/>
      <w:bookmarkStart w:id="698" w:name="_Toc21765"/>
      <w:bookmarkStart w:id="699" w:name="_Toc30910"/>
      <w:r>
        <w:rPr>
          <w:rFonts w:hint="eastAsia"/>
          <w:lang w:val="en-US" w:eastAsia="zh-CN"/>
        </w:rPr>
        <w:t xml:space="preserve">6.4.1.7.1 </w:t>
      </w:r>
      <w:r>
        <w:t>Non-Subarray model</w:t>
      </w:r>
      <w:bookmarkEnd w:id="691"/>
      <w:bookmarkEnd w:id="692"/>
      <w:bookmarkEnd w:id="693"/>
      <w:bookmarkEnd w:id="694"/>
      <w:bookmarkEnd w:id="695"/>
      <w:bookmarkEnd w:id="696"/>
      <w:bookmarkEnd w:id="697"/>
      <w:bookmarkEnd w:id="698"/>
      <w:bookmarkEnd w:id="699"/>
    </w:p>
    <w:p>
      <w:pPr>
        <w:pStyle w:val="7"/>
      </w:pPr>
      <w:bookmarkStart w:id="700" w:name="_Toc15755"/>
      <w:bookmarkStart w:id="701" w:name="_Toc31850"/>
      <w:bookmarkStart w:id="702" w:name="_Toc9995"/>
      <w:bookmarkStart w:id="703" w:name="_Toc2699"/>
      <w:bookmarkStart w:id="704" w:name="_Toc5423"/>
      <w:r>
        <w:t>Maximum distance between ATG BS and ATG UE is 100 km</w:t>
      </w:r>
      <w:bookmarkEnd w:id="700"/>
      <w:bookmarkEnd w:id="701"/>
      <w:bookmarkEnd w:id="702"/>
      <w:bookmarkEnd w:id="703"/>
      <w:bookmarkEnd w:id="704"/>
    </w:p>
    <w:p>
      <w:pPr>
        <w:rPr>
          <w:rFonts w:ascii="Arial" w:hAnsi="Arial" w:cs="Arial"/>
        </w:rPr>
      </w:pPr>
      <w:r>
        <w:rPr>
          <w:rFonts w:ascii="Arial" w:hAnsi="Arial" w:cs="Arial"/>
        </w:rPr>
        <w:drawing>
          <wp:inline distT="0" distB="0" distL="0" distR="0">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r>
        <w:rPr>
          <w:rFonts w:ascii="Arial" w:hAnsi="Arial" w:cs="Arial"/>
        </w:rPr>
        <w:drawing>
          <wp:inline distT="0" distB="0" distL="0" distR="0">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ascii="Arial" w:hAnsi="Arial" w:cs="Arial"/>
        </w:rPr>
      </w:pPr>
    </w:p>
    <w:p>
      <w:pPr>
        <w:pStyle w:val="7"/>
      </w:pPr>
      <w:bookmarkStart w:id="705" w:name="_Toc10706"/>
      <w:bookmarkStart w:id="706" w:name="_Toc6500"/>
      <w:bookmarkStart w:id="707" w:name="_Toc25954"/>
      <w:bookmarkStart w:id="708" w:name="_Toc11443"/>
      <w:bookmarkStart w:id="709" w:name="_Toc10924"/>
      <w:r>
        <w:t>Maximum distance between ATG BS and ATG UE is 300 km</w:t>
      </w:r>
      <w:bookmarkEnd w:id="705"/>
      <w:bookmarkEnd w:id="706"/>
      <w:bookmarkEnd w:id="707"/>
      <w:bookmarkEnd w:id="708"/>
      <w:bookmarkEnd w:id="709"/>
    </w:p>
    <w:p>
      <w:pPr>
        <w:rPr>
          <w:rFonts w:ascii="Arial" w:hAnsi="Arial" w:cs="Arial"/>
        </w:rPr>
      </w:pPr>
      <w:r>
        <w:rPr>
          <w:rFonts w:ascii="Arial" w:hAnsi="Arial" w:cs="Arial"/>
        </w:rPr>
        <w:drawing>
          <wp:inline distT="0" distB="0" distL="0" distR="0">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-3: Simulation results for Throughput Loss - 5% of users in the whole network</w:t>
      </w:r>
    </w:p>
    <w:p>
      <w:pPr>
        <w:rPr>
          <w:rFonts w:ascii="Arial" w:hAnsi="Arial" w:cs="Arial"/>
        </w:rPr>
      </w:pPr>
      <w:r>
        <w:rPr>
          <w:rFonts w:ascii="Arial" w:hAnsi="Arial" w:cs="Arial"/>
        </w:rPr>
        <w:drawing>
          <wp:inline distT="0" distB="0" distL="0" distR="0">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-4: Simulation results for Throughput Loss – Average of all users in the whole network</w:t>
      </w:r>
    </w:p>
    <w:p>
      <w:pPr>
        <w:rPr>
          <w:rFonts w:cs="Arial"/>
        </w:rPr>
      </w:pPr>
    </w:p>
    <w:p>
      <w:pPr>
        <w:pStyle w:val="6"/>
      </w:pPr>
      <w:bookmarkStart w:id="710" w:name="_Toc12570"/>
      <w:bookmarkStart w:id="711" w:name="_Toc31188"/>
      <w:bookmarkStart w:id="712" w:name="_Toc492"/>
      <w:bookmarkStart w:id="713" w:name="_Toc13155"/>
      <w:bookmarkStart w:id="714" w:name="_Toc17762"/>
      <w:bookmarkStart w:id="715" w:name="_Toc7208"/>
      <w:bookmarkStart w:id="716" w:name="_Toc2383"/>
      <w:bookmarkStart w:id="717" w:name="_Toc26636"/>
      <w:bookmarkStart w:id="718" w:name="_Toc2090"/>
      <w:r>
        <w:rPr>
          <w:rFonts w:hint="eastAsia"/>
          <w:lang w:val="en-US" w:eastAsia="zh-CN"/>
        </w:rPr>
        <w:t xml:space="preserve">6.4.1.7.2 </w:t>
      </w:r>
      <w:r>
        <w:t>Subarray model</w:t>
      </w:r>
      <w:bookmarkEnd w:id="710"/>
      <w:bookmarkEnd w:id="711"/>
      <w:bookmarkEnd w:id="712"/>
      <w:bookmarkEnd w:id="713"/>
      <w:bookmarkEnd w:id="714"/>
      <w:bookmarkEnd w:id="715"/>
      <w:bookmarkEnd w:id="716"/>
      <w:bookmarkEnd w:id="717"/>
      <w:bookmarkEnd w:id="718"/>
    </w:p>
    <w:p>
      <w:pPr>
        <w:pStyle w:val="7"/>
      </w:pPr>
      <w:bookmarkStart w:id="719" w:name="_Toc3521"/>
      <w:bookmarkStart w:id="720" w:name="_Toc2494"/>
      <w:bookmarkStart w:id="721" w:name="_Toc26962"/>
      <w:bookmarkStart w:id="722" w:name="_Toc24505"/>
      <w:bookmarkStart w:id="723" w:name="_Toc31147"/>
      <w:r>
        <w:t>Maximum distance between ATG BS and ATG UE is 100 km</w:t>
      </w:r>
      <w:bookmarkEnd w:id="719"/>
      <w:bookmarkEnd w:id="720"/>
      <w:bookmarkEnd w:id="721"/>
      <w:bookmarkEnd w:id="722"/>
      <w:bookmarkEnd w:id="723"/>
    </w:p>
    <w:p>
      <w:pPr>
        <w:rPr>
          <w:rFonts w:ascii="Arial" w:hAnsi="Arial" w:cs="Arial"/>
        </w:rPr>
      </w:pPr>
      <w:r>
        <w:rPr>
          <w:rFonts w:ascii="Arial" w:hAnsi="Arial" w:cs="Arial"/>
        </w:rPr>
        <w:drawing>
          <wp:inline distT="0" distB="0" distL="0" distR="0">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-5: Simulation results for Throughput Loss - 5% of users in the whole network</w:t>
      </w:r>
    </w:p>
    <w:p>
      <w:pPr>
        <w:rPr>
          <w:rFonts w:ascii="Arial" w:hAnsi="Arial" w:cs="Arial"/>
        </w:rPr>
      </w:pPr>
      <w:r>
        <w:rPr>
          <w:rFonts w:ascii="Arial" w:hAnsi="Arial" w:cs="Arial"/>
        </w:rPr>
        <w:drawing>
          <wp:inline distT="0" distB="0" distL="0" distR="0">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-6: Simulation results for Throughput Loss – Average of all users in the whole network</w:t>
      </w:r>
    </w:p>
    <w:p>
      <w:pPr>
        <w:pStyle w:val="7"/>
      </w:pPr>
      <w:bookmarkStart w:id="724" w:name="_Toc19846"/>
      <w:bookmarkStart w:id="725" w:name="_Toc29127"/>
      <w:bookmarkStart w:id="726" w:name="_Toc25122"/>
      <w:bookmarkStart w:id="727" w:name="_Toc28037"/>
      <w:bookmarkStart w:id="728" w:name="_Toc19907"/>
      <w:r>
        <w:t>Maximum distance between ATG BS and ATG UE is 300 km</w:t>
      </w:r>
      <w:bookmarkEnd w:id="724"/>
      <w:bookmarkEnd w:id="725"/>
      <w:bookmarkEnd w:id="726"/>
      <w:bookmarkEnd w:id="727"/>
      <w:bookmarkEnd w:id="728"/>
    </w:p>
    <w:p>
      <w:pPr>
        <w:rPr>
          <w:rFonts w:ascii="Arial" w:hAnsi="Arial" w:cs="Arial"/>
        </w:rPr>
      </w:pPr>
      <w:r>
        <w:rPr>
          <w:rFonts w:ascii="Arial" w:hAnsi="Arial" w:cs="Arial"/>
        </w:rPr>
        <w:drawing>
          <wp:inline distT="0" distB="0" distL="0" distR="0">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-7: Simulation results for Throughput Loss - 5% of users in the whole network</w:t>
      </w:r>
    </w:p>
    <w:p>
      <w:pPr>
        <w:rPr>
          <w:rFonts w:ascii="Arial" w:hAnsi="Arial" w:cs="Arial"/>
        </w:rPr>
      </w:pPr>
      <w:r>
        <w:rPr>
          <w:rFonts w:ascii="Arial" w:hAnsi="Arial" w:cs="Arial"/>
        </w:rPr>
        <w:drawing>
          <wp:inline distT="0" distB="0" distL="0" distR="0">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pPr>
        <w:pStyle w:val="28"/>
        <w:jc w:val="center"/>
        <w:rPr>
          <w:rFonts w:ascii="Arial" w:hAnsi="Arial" w:cs="Arial"/>
        </w:rPr>
      </w:pPr>
      <w:r>
        <w:rPr>
          <w:rFonts w:ascii="Arial" w:hAnsi="Arial" w:cs="Arial"/>
        </w:rPr>
        <w:t>Figure 6.4.1.7</w:t>
      </w:r>
      <w:r>
        <w:rPr>
          <w:rFonts w:hint="default" w:ascii="Arial" w:hAnsi="Arial" w:eastAsia="宋体" w:cs="Arial"/>
          <w:lang w:val="en-US" w:eastAsia="zh-CN"/>
        </w:rPr>
        <w:t>.1</w:t>
      </w:r>
      <w:r>
        <w:rPr>
          <w:rFonts w:ascii="Arial" w:hAnsi="Arial" w:cs="Arial"/>
        </w:rPr>
        <w:t>-8: Simulation results for Throughput Loss – Average of all users in the whole network</w:t>
      </w:r>
    </w:p>
    <w:p>
      <w:pPr>
        <w:rPr>
          <w:rFonts w:cs="Arial"/>
        </w:rPr>
      </w:pPr>
    </w:p>
    <w:p>
      <w:pPr>
        <w:pStyle w:val="5"/>
        <w:rPr>
          <w:lang w:val="sv-SE"/>
        </w:rPr>
      </w:pPr>
      <w:bookmarkStart w:id="729" w:name="_Toc32262"/>
      <w:bookmarkStart w:id="730" w:name="_Toc13267"/>
      <w:bookmarkStart w:id="731" w:name="_Toc18004"/>
      <w:bookmarkStart w:id="732" w:name="_Toc17755"/>
      <w:bookmarkStart w:id="733" w:name="_Toc17428"/>
      <w:bookmarkStart w:id="734" w:name="_Toc31610"/>
      <w:bookmarkStart w:id="735" w:name="_Toc21347"/>
      <w:bookmarkStart w:id="736" w:name="_Toc29229"/>
      <w:bookmarkStart w:id="737" w:name="_Toc15439"/>
      <w:r>
        <w:rPr>
          <w:lang w:val="sv-SE"/>
        </w:rPr>
        <w:t>6.4.1.8 Scenario 12: 2GHz TN UL interfering ATG UL</w:t>
      </w:r>
      <w:bookmarkEnd w:id="729"/>
      <w:bookmarkEnd w:id="730"/>
      <w:bookmarkEnd w:id="731"/>
      <w:bookmarkEnd w:id="732"/>
      <w:bookmarkEnd w:id="733"/>
      <w:bookmarkEnd w:id="734"/>
      <w:bookmarkEnd w:id="735"/>
      <w:bookmarkEnd w:id="736"/>
      <w:bookmarkEnd w:id="737"/>
    </w:p>
    <w:p>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pPr>
        <w:jc w:val="center"/>
        <w:rPr>
          <w:rFonts w:ascii="Arial" w:hAnsi="Arial" w:cs="Arial"/>
          <w:b/>
          <w:bCs/>
        </w:rPr>
      </w:pPr>
      <w:r>
        <w:rPr>
          <w:rFonts w:ascii="Arial" w:hAnsi="Arial" w:cs="Arial"/>
          <w:b/>
          <w:bCs/>
        </w:rPr>
        <w:t>Table 6.4.1.8-1: Simulation results for Scenario 12 – 2GHz TN UL interfering ATG UL</w:t>
      </w: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83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b/>
                <w:lang w:eastAsia="zh-CN"/>
              </w:rPr>
            </w:pPr>
            <w:r>
              <w:rPr>
                <w:rFonts w:eastAsia="Yu Mincho" w:cs="Arial"/>
                <w:b/>
                <w:lang w:eastAsia="zh-CN" w:bidi="ar"/>
              </w:rPr>
              <w:t>Throughput Loss (%) at ATG BS ACS 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Ericsson</w:t>
            </w:r>
          </w:p>
          <w:p>
            <w:pPr>
              <w:jc w:val="center"/>
              <w:rPr>
                <w:rFonts w:eastAsia="Yu Mincho" w:cs="Arial"/>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sv-SE" w:eastAsia="ko"/>
              </w:rPr>
            </w:pPr>
            <w:r>
              <w:rPr>
                <w:rFonts w:eastAsia="Yu Mincho" w:cs="Arial"/>
                <w:lang w:val="sv-SE" w:eastAsia="ko"/>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cs="Arial"/>
                <w:lang w:val="en-IN" w:eastAsia="ko"/>
              </w:rPr>
            </w:pPr>
            <w:r>
              <w:rPr>
                <w:rFonts w:eastAsia="Yu Mincho" w:cs="Arial"/>
                <w:lang w:val="en-IN" w:eastAsia="ko"/>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color="auto" w:sz="4" w:space="0"/>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ZTE</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cs="Arial"/>
                <w:highlight w:val="yellow"/>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CMCC</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Qualcomm</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Huawei</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cs="Arial"/>
                <w:lang w:val="sv-SE" w:eastAsia="zh-CN"/>
              </w:rPr>
            </w:pPr>
            <w:r>
              <w:rPr>
                <w:rFonts w:eastAsia="Yu Mincho" w:cs="Arial"/>
                <w:lang w:val="sv-SE" w:eastAsia="zh-CN"/>
              </w:rPr>
              <w:t>CATT</w:t>
            </w:r>
          </w:p>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1.32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restart"/>
            <w:tcBorders>
              <w:left w:val="single" w:color="auto" w:sz="4" w:space="0"/>
              <w:right w:val="single" w:color="auto" w:sz="4" w:space="0"/>
            </w:tcBorders>
          </w:tcPr>
          <w:p>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cs="Arial"/>
              </w:rPr>
            </w:pPr>
          </w:p>
        </w:tc>
        <w:tc>
          <w:tcPr>
            <w:tcW w:w="1418" w:type="dxa"/>
            <w:vMerge w:val="continue"/>
            <w:tcBorders>
              <w:left w:val="single" w:color="auto" w:sz="4" w:space="0"/>
              <w:right w:val="single" w:color="auto" w:sz="4" w:space="0"/>
            </w:tcBorders>
          </w:tcPr>
          <w:p>
            <w:pPr>
              <w:keepNext/>
              <w:keepLines/>
              <w:spacing w:after="0"/>
              <w:jc w:val="center"/>
              <w:rPr>
                <w:rFonts w:eastAsia="Malgun Gothic" w:cs="Arial"/>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color="auto" w:sz="4" w:space="0"/>
              <w:right w:val="single" w:color="auto" w:sz="4" w:space="0"/>
            </w:tcBorders>
            <w:vAlign w:val="center"/>
          </w:tcPr>
          <w:p>
            <w:pPr>
              <w:keepNext/>
              <w:keepLines/>
              <w:spacing w:after="0"/>
              <w:jc w:val="center"/>
              <w:rPr>
                <w:rFonts w:eastAsia="Yu Mincho" w:cs="Arial"/>
                <w:lang w:eastAsia="ko" w:bidi="ar"/>
              </w:rPr>
            </w:pPr>
            <w:r>
              <w:rPr>
                <w:rFonts w:eastAsia="Yu Mincho" w:cs="Arial"/>
                <w:lang w:eastAsia="ko" w:bidi="ar"/>
              </w:rPr>
              <w:t>-</w:t>
            </w:r>
          </w:p>
        </w:tc>
      </w:tr>
    </w:tbl>
    <w:p>
      <w:pPr>
        <w:rPr>
          <w:rFonts w:cs="Arial"/>
        </w:rPr>
      </w:pPr>
    </w:p>
    <w:p>
      <w:pPr>
        <w:pStyle w:val="6"/>
      </w:pPr>
      <w:bookmarkStart w:id="738" w:name="_Toc17101"/>
      <w:bookmarkStart w:id="739" w:name="_Toc1987"/>
      <w:bookmarkStart w:id="740" w:name="_Toc3304"/>
      <w:bookmarkStart w:id="741" w:name="_Toc21916"/>
      <w:bookmarkStart w:id="742" w:name="_Toc872"/>
      <w:bookmarkStart w:id="743" w:name="_Toc25846"/>
      <w:bookmarkStart w:id="744" w:name="_Toc19176"/>
      <w:bookmarkStart w:id="745" w:name="_Toc29144"/>
      <w:bookmarkStart w:id="746" w:name="_Toc28431"/>
      <w:r>
        <w:rPr>
          <w:rFonts w:hint="eastAsia"/>
          <w:lang w:val="en-US" w:eastAsia="zh-CN"/>
        </w:rPr>
        <w:t xml:space="preserve">6.4.1.8.1 </w:t>
      </w:r>
      <w:r>
        <w:t>Non-Subarray model</w:t>
      </w:r>
      <w:bookmarkEnd w:id="738"/>
      <w:bookmarkEnd w:id="739"/>
      <w:bookmarkEnd w:id="740"/>
      <w:bookmarkEnd w:id="741"/>
      <w:bookmarkEnd w:id="742"/>
      <w:bookmarkEnd w:id="743"/>
      <w:bookmarkEnd w:id="744"/>
      <w:bookmarkEnd w:id="745"/>
      <w:bookmarkEnd w:id="746"/>
    </w:p>
    <w:p>
      <w:pPr>
        <w:rPr>
          <w:rFonts w:ascii="Arial" w:hAnsi="Arial" w:cs="Arial"/>
        </w:rPr>
      </w:pPr>
      <w:r>
        <w:rPr>
          <w:rFonts w:ascii="Arial" w:hAnsi="Arial" w:cs="Arial"/>
        </w:rPr>
        <w:drawing>
          <wp:inline distT="0" distB="0" distL="0" distR="0">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pPr>
        <w:pStyle w:val="28"/>
        <w:jc w:val="center"/>
        <w:rPr>
          <w:rFonts w:ascii="Arial" w:hAnsi="Arial" w:cs="Arial"/>
        </w:rPr>
      </w:pPr>
      <w:r>
        <w:rPr>
          <w:rFonts w:ascii="Arial" w:hAnsi="Arial" w:cs="Arial"/>
        </w:rPr>
        <w:t>Figure 6.4.1.8</w:t>
      </w:r>
      <w:r>
        <w:rPr>
          <w:rFonts w:hint="default" w:ascii="Arial" w:hAnsi="Arial" w:eastAsia="宋体" w:cs="Arial"/>
          <w:lang w:val="en-US" w:eastAsia="zh-CN"/>
        </w:rPr>
        <w:t>.1</w:t>
      </w:r>
      <w:r>
        <w:rPr>
          <w:rFonts w:ascii="Arial" w:hAnsi="Arial" w:cs="Arial"/>
        </w:rPr>
        <w:t>-1: Simulation results for Throughput Loss - 5% of users in the whole network</w:t>
      </w:r>
    </w:p>
    <w:p>
      <w:pPr>
        <w:rPr>
          <w:rFonts w:ascii="Arial" w:hAnsi="Arial" w:cs="Arial"/>
        </w:rPr>
      </w:pPr>
      <w:r>
        <w:rPr>
          <w:rFonts w:ascii="Arial" w:hAnsi="Arial" w:cs="Arial"/>
        </w:rPr>
        <w:drawing>
          <wp:inline distT="0" distB="0" distL="0" distR="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pPr>
        <w:pStyle w:val="28"/>
        <w:jc w:val="center"/>
        <w:rPr>
          <w:rFonts w:ascii="Arial" w:hAnsi="Arial" w:cs="Arial"/>
        </w:rPr>
      </w:pPr>
      <w:r>
        <w:rPr>
          <w:rFonts w:ascii="Arial" w:hAnsi="Arial" w:cs="Arial"/>
        </w:rPr>
        <w:t>Figure 6.4.1.8</w:t>
      </w:r>
      <w:r>
        <w:rPr>
          <w:rFonts w:hint="default" w:ascii="Arial" w:hAnsi="Arial" w:eastAsia="宋体" w:cs="Arial"/>
          <w:lang w:val="en-US" w:eastAsia="zh-CN"/>
        </w:rPr>
        <w:t>.1</w:t>
      </w:r>
      <w:r>
        <w:rPr>
          <w:rFonts w:ascii="Arial" w:hAnsi="Arial" w:cs="Arial"/>
        </w:rPr>
        <w:t>-2: Simulation results for Throughput Loss – Average of all users in the whole network</w:t>
      </w:r>
    </w:p>
    <w:p>
      <w:pPr>
        <w:rPr>
          <w:rFonts w:cs="Arial"/>
        </w:rPr>
      </w:pPr>
    </w:p>
    <w:p>
      <w:pPr>
        <w:pStyle w:val="6"/>
      </w:pPr>
      <w:bookmarkStart w:id="747" w:name="_Toc9739"/>
      <w:bookmarkStart w:id="748" w:name="_Toc15087"/>
      <w:bookmarkStart w:id="749" w:name="_Toc10390"/>
      <w:bookmarkStart w:id="750" w:name="_Toc26830"/>
      <w:bookmarkStart w:id="751" w:name="_Toc21962"/>
      <w:bookmarkStart w:id="752" w:name="_Toc7064"/>
      <w:bookmarkStart w:id="753" w:name="_Toc32071"/>
      <w:bookmarkStart w:id="754" w:name="_Toc8607"/>
      <w:bookmarkStart w:id="755" w:name="_Toc17906"/>
      <w:r>
        <w:rPr>
          <w:rFonts w:hint="eastAsia"/>
          <w:lang w:val="en-US" w:eastAsia="zh-CN"/>
        </w:rPr>
        <w:t xml:space="preserve">6.4.1.8.2 </w:t>
      </w:r>
      <w:r>
        <w:t>Subarray model</w:t>
      </w:r>
      <w:bookmarkEnd w:id="747"/>
      <w:bookmarkEnd w:id="748"/>
      <w:bookmarkEnd w:id="749"/>
      <w:bookmarkEnd w:id="750"/>
      <w:bookmarkEnd w:id="751"/>
      <w:bookmarkEnd w:id="752"/>
      <w:bookmarkEnd w:id="753"/>
      <w:bookmarkEnd w:id="754"/>
      <w:bookmarkEnd w:id="755"/>
    </w:p>
    <w:p>
      <w:pPr>
        <w:rPr>
          <w:rFonts w:cs="Arial"/>
        </w:rPr>
      </w:pPr>
      <w:r>
        <w:rPr>
          <w:rFonts w:cs="Arial"/>
        </w:rPr>
        <w:drawing>
          <wp:inline distT="0" distB="0" distL="0" distR="0">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pPr>
        <w:pStyle w:val="28"/>
        <w:jc w:val="center"/>
        <w:rPr>
          <w:rFonts w:cs="Arial"/>
        </w:rPr>
      </w:pPr>
      <w:r>
        <w:rPr>
          <w:rFonts w:cs="Arial"/>
        </w:rPr>
        <w:t>Figure 6.4.1.8</w:t>
      </w:r>
      <w:r>
        <w:rPr>
          <w:rFonts w:hint="eastAsia" w:eastAsia="宋体" w:cs="Arial"/>
          <w:lang w:val="en-US" w:eastAsia="zh-CN"/>
        </w:rPr>
        <w:t>.2</w:t>
      </w:r>
      <w:r>
        <w:rPr>
          <w:rFonts w:cs="Arial"/>
        </w:rPr>
        <w:t>-</w:t>
      </w:r>
      <w:r>
        <w:rPr>
          <w:rFonts w:hint="eastAsia" w:eastAsia="宋体" w:cs="Arial"/>
          <w:lang w:val="en-US" w:eastAsia="zh-CN"/>
        </w:rPr>
        <w:t>1</w:t>
      </w:r>
      <w:r>
        <w:rPr>
          <w:rFonts w:cs="Arial"/>
        </w:rPr>
        <w:t>: Simulation results for Throughput Loss - 5% of users in the whole network</w:t>
      </w:r>
    </w:p>
    <w:p>
      <w:pPr>
        <w:rPr>
          <w:rFonts w:cs="Arial"/>
        </w:rPr>
      </w:pPr>
      <w:r>
        <w:rPr>
          <w:rFonts w:cs="Arial"/>
        </w:rPr>
        <w:drawing>
          <wp:inline distT="0" distB="0" distL="0" distR="0">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pPr>
        <w:pStyle w:val="28"/>
        <w:jc w:val="center"/>
        <w:rPr>
          <w:rFonts w:ascii="Arial" w:hAnsi="Arial" w:cs="Arial"/>
        </w:rPr>
      </w:pPr>
      <w:r>
        <w:rPr>
          <w:rFonts w:ascii="Arial" w:hAnsi="Arial" w:cs="Arial"/>
        </w:rPr>
        <w:t>Figure 6.4.1.8</w:t>
      </w:r>
      <w:r>
        <w:rPr>
          <w:rFonts w:hint="default" w:ascii="Arial" w:hAnsi="Arial" w:eastAsia="宋体" w:cs="Arial"/>
          <w:lang w:val="en-US" w:eastAsia="zh-CN"/>
        </w:rPr>
        <w:t>.2</w:t>
      </w:r>
      <w:r>
        <w:rPr>
          <w:rFonts w:ascii="Arial" w:hAnsi="Arial" w:cs="Arial"/>
        </w:rPr>
        <w:t>-</w:t>
      </w:r>
      <w:r>
        <w:rPr>
          <w:rFonts w:hint="default" w:ascii="Arial" w:hAnsi="Arial" w:eastAsia="宋体" w:cs="Arial"/>
          <w:lang w:val="en-US" w:eastAsia="zh-CN"/>
        </w:rPr>
        <w:t>2</w:t>
      </w:r>
      <w:r>
        <w:rPr>
          <w:rFonts w:ascii="Arial" w:hAnsi="Arial" w:cs="Arial"/>
        </w:rPr>
        <w:t>: Simulation results for Throughput Loss – Average of all users in the whole network</w:t>
      </w:r>
    </w:p>
    <w:p>
      <w:pPr>
        <w:pStyle w:val="4"/>
      </w:pPr>
      <w:bookmarkStart w:id="756" w:name="_Toc58"/>
      <w:bookmarkStart w:id="757" w:name="_Toc8381"/>
      <w:bookmarkStart w:id="758" w:name="_Toc14296"/>
      <w:bookmarkStart w:id="759" w:name="_Toc31913"/>
      <w:bookmarkStart w:id="760" w:name="_Toc649"/>
      <w:bookmarkStart w:id="761" w:name="_Toc16929"/>
      <w:bookmarkStart w:id="762" w:name="_Toc3281"/>
      <w:bookmarkStart w:id="763" w:name="_Toc11045"/>
      <w:bookmarkStart w:id="764" w:name="_Toc7635"/>
      <w:r>
        <w:t>6.4.2 Non-synchronized Scenarios</w:t>
      </w:r>
      <w:bookmarkEnd w:id="756"/>
      <w:bookmarkEnd w:id="757"/>
      <w:bookmarkEnd w:id="758"/>
      <w:bookmarkEnd w:id="759"/>
      <w:bookmarkEnd w:id="760"/>
      <w:bookmarkEnd w:id="761"/>
      <w:bookmarkEnd w:id="762"/>
      <w:bookmarkEnd w:id="763"/>
      <w:bookmarkEnd w:id="764"/>
    </w:p>
    <w:p>
      <w:pPr>
        <w:pStyle w:val="5"/>
      </w:pPr>
      <w:bookmarkStart w:id="765" w:name="_Toc9806"/>
      <w:bookmarkStart w:id="766" w:name="_Toc27384"/>
      <w:bookmarkStart w:id="767" w:name="_Toc4262"/>
      <w:bookmarkStart w:id="768" w:name="_Toc9491"/>
      <w:bookmarkStart w:id="769" w:name="_Toc26440"/>
      <w:bookmarkStart w:id="770" w:name="_Toc17445"/>
      <w:bookmarkStart w:id="771" w:name="_Toc21999"/>
      <w:bookmarkStart w:id="772" w:name="_Toc5238"/>
      <w:bookmarkStart w:id="773" w:name="_Toc17087"/>
      <w:r>
        <w:t>6.4.2.1 Scenario 5: 4GHz ATG DL interfering TN UL</w:t>
      </w:r>
      <w:bookmarkEnd w:id="765"/>
      <w:bookmarkEnd w:id="766"/>
      <w:bookmarkEnd w:id="767"/>
      <w:bookmarkEnd w:id="768"/>
      <w:bookmarkEnd w:id="769"/>
      <w:bookmarkEnd w:id="770"/>
      <w:bookmarkEnd w:id="771"/>
      <w:bookmarkEnd w:id="772"/>
      <w:bookmarkEnd w:id="773"/>
    </w:p>
    <w:p>
      <w:pPr>
        <w:spacing w:after="120"/>
        <w:rPr>
          <w:rFonts w:eastAsia="宋体"/>
        </w:rPr>
      </w:pPr>
      <w:r>
        <w:rPr>
          <w:rFonts w:eastAsia="宋体"/>
        </w:rPr>
        <w:t xml:space="preserve">This scenario captures the co-existence results after evaluation from all possible options. Here ATG DL with both AAS subarray and non-subarray model is interfering TN UL deployed in rural macro environment. </w:t>
      </w:r>
    </w:p>
    <w:p>
      <w:pPr>
        <w:pStyle w:val="6"/>
      </w:pPr>
      <w:bookmarkStart w:id="774" w:name="_Toc30182"/>
      <w:bookmarkStart w:id="775" w:name="_Toc19444"/>
      <w:bookmarkStart w:id="776" w:name="_Toc4905"/>
      <w:bookmarkStart w:id="777" w:name="_Toc6761"/>
      <w:bookmarkStart w:id="778" w:name="_Toc13313"/>
      <w:bookmarkStart w:id="779" w:name="_Toc7790"/>
      <w:bookmarkStart w:id="780" w:name="_Toc4180"/>
      <w:bookmarkStart w:id="781" w:name="_Toc5512"/>
      <w:bookmarkStart w:id="782" w:name="_Toc18365"/>
      <w:r>
        <w:t>6.4.2.1.1 Using FSPL model</w:t>
      </w:r>
      <w:bookmarkEnd w:id="774"/>
      <w:bookmarkEnd w:id="775"/>
      <w:bookmarkEnd w:id="776"/>
      <w:bookmarkEnd w:id="777"/>
      <w:bookmarkEnd w:id="778"/>
      <w:bookmarkEnd w:id="779"/>
      <w:bookmarkEnd w:id="780"/>
      <w:bookmarkEnd w:id="781"/>
      <w:bookmarkEnd w:id="782"/>
    </w:p>
    <w:p>
      <w:pPr>
        <w:keepNext/>
        <w:keepLines/>
        <w:spacing w:before="240"/>
        <w:jc w:val="center"/>
        <w:rPr>
          <w:rFonts w:ascii="Arial" w:hAnsi="Arial" w:cs="Arial"/>
          <w:b/>
        </w:rPr>
      </w:pPr>
      <w:r>
        <w:rPr>
          <w:rFonts w:ascii="Arial" w:hAnsi="Arial" w:cs="Arial"/>
          <w:b/>
        </w:rPr>
        <w:t>Table 6.4.2.1.1: Simulation results for Scenario 5 – 4GHz ATG DL interfering TN UL using FSPL model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&gt;400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30</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290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39</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42</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r>
    </w:tbl>
    <w:p>
      <w:pPr>
        <w:rPr>
          <w:rFonts w:eastAsia="等线"/>
          <w:lang w:val="sv-SE"/>
        </w:rPr>
      </w:pPr>
    </w:p>
    <w:p>
      <w:pPr>
        <w:pStyle w:val="6"/>
      </w:pPr>
      <w:bookmarkStart w:id="783" w:name="_Toc12858"/>
      <w:bookmarkStart w:id="784" w:name="_Toc21305"/>
      <w:bookmarkStart w:id="785" w:name="_Toc15525"/>
      <w:bookmarkStart w:id="786" w:name="_Toc21061"/>
      <w:bookmarkStart w:id="787" w:name="_Toc26918"/>
      <w:bookmarkStart w:id="788" w:name="_Toc27399"/>
      <w:bookmarkStart w:id="789" w:name="_Toc26900"/>
      <w:bookmarkStart w:id="790" w:name="_Toc12084"/>
      <w:bookmarkStart w:id="791" w:name="_Toc12592"/>
      <w:r>
        <w:t>6.4.2.1.2 Using RMa model in TR 38.901 with updating hUT as 30m</w:t>
      </w:r>
      <w:bookmarkEnd w:id="783"/>
      <w:bookmarkEnd w:id="784"/>
      <w:bookmarkEnd w:id="785"/>
      <w:bookmarkEnd w:id="786"/>
      <w:bookmarkEnd w:id="787"/>
      <w:bookmarkEnd w:id="788"/>
      <w:bookmarkEnd w:id="789"/>
      <w:bookmarkEnd w:id="790"/>
      <w:bookmarkEnd w:id="791"/>
    </w:p>
    <w:p>
      <w:pPr>
        <w:keepNext/>
        <w:keepLines/>
        <w:spacing w:before="240"/>
        <w:jc w:val="center"/>
        <w:rPr>
          <w:rFonts w:ascii="Arial" w:hAnsi="Arial" w:cs="Arial"/>
          <w:b/>
        </w:rPr>
      </w:pPr>
      <w:r>
        <w:rPr>
          <w:rFonts w:ascii="Arial" w:hAnsi="Arial" w:cs="Arial"/>
          <w:b/>
        </w:rPr>
        <w:t>Table 6.4.2.1.2: Simulation results for Scenario 5 – 4GHz ATG DL interfering TN UL using RMa model with hUT as 30m</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11</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12</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val="en-IN" w:eastAsia="ko" w:bidi="ar"/>
              </w:rPr>
            </w:pPr>
            <w:r>
              <w:rPr>
                <w:rFonts w:eastAsia="Yu Mincho"/>
                <w:lang w:val="en-IN"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&lt;5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rPr>
          <w:rFonts w:eastAsia="等线"/>
        </w:rPr>
      </w:pPr>
    </w:p>
    <w:p>
      <w:pPr>
        <w:pStyle w:val="5"/>
        <w:rPr>
          <w:lang w:val="sv-SE"/>
        </w:rPr>
      </w:pPr>
      <w:bookmarkStart w:id="792" w:name="_Toc15224"/>
      <w:bookmarkStart w:id="793" w:name="_Toc477"/>
      <w:bookmarkStart w:id="794" w:name="_Toc23403"/>
      <w:bookmarkStart w:id="795" w:name="_Toc30615"/>
      <w:bookmarkStart w:id="796" w:name="_Toc4919"/>
      <w:bookmarkStart w:id="797" w:name="_Toc15762"/>
      <w:bookmarkStart w:id="798" w:name="_Toc11131"/>
      <w:bookmarkStart w:id="799" w:name="_Toc20406"/>
      <w:bookmarkStart w:id="800" w:name="_Toc20610"/>
      <w:r>
        <w:rPr>
          <w:lang w:val="sv-SE"/>
        </w:rPr>
        <w:t>6.4.2.2 Scenario 6: 4GHz TN UL interfering TN DL</w:t>
      </w:r>
      <w:bookmarkEnd w:id="792"/>
      <w:bookmarkEnd w:id="793"/>
      <w:bookmarkEnd w:id="794"/>
      <w:bookmarkEnd w:id="795"/>
      <w:bookmarkEnd w:id="796"/>
      <w:bookmarkEnd w:id="797"/>
      <w:bookmarkEnd w:id="798"/>
      <w:bookmarkEnd w:id="799"/>
      <w:bookmarkEnd w:id="800"/>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801" w:name="_Toc8008"/>
      <w:bookmarkStart w:id="802" w:name="_Toc7705"/>
      <w:bookmarkStart w:id="803" w:name="_Toc18915"/>
      <w:bookmarkStart w:id="804" w:name="_Toc22708"/>
      <w:bookmarkStart w:id="805" w:name="_Toc9783"/>
      <w:bookmarkStart w:id="806" w:name="_Toc31963"/>
      <w:bookmarkStart w:id="807" w:name="_Toc4358"/>
      <w:bookmarkStart w:id="808" w:name="_Toc6414"/>
      <w:bookmarkStart w:id="809" w:name="_Toc20669"/>
      <w:r>
        <w:rPr>
          <w:lang w:val="sv-SE"/>
        </w:rPr>
        <w:t>6.4.2.3 Scenario 7: 4GHz TN DL interfering ATG UL</w:t>
      </w:r>
      <w:bookmarkEnd w:id="801"/>
      <w:bookmarkEnd w:id="802"/>
      <w:bookmarkEnd w:id="803"/>
      <w:bookmarkEnd w:id="804"/>
      <w:bookmarkEnd w:id="805"/>
      <w:bookmarkEnd w:id="806"/>
      <w:bookmarkEnd w:id="807"/>
      <w:bookmarkEnd w:id="808"/>
      <w:bookmarkEnd w:id="809"/>
    </w:p>
    <w:p>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pPr>
        <w:pStyle w:val="6"/>
      </w:pPr>
      <w:bookmarkStart w:id="810" w:name="_Toc26369"/>
      <w:bookmarkStart w:id="811" w:name="_Toc4978"/>
      <w:bookmarkStart w:id="812" w:name="_Toc5363"/>
      <w:bookmarkStart w:id="813" w:name="_Toc2825"/>
      <w:bookmarkStart w:id="814" w:name="_Toc12435"/>
      <w:bookmarkStart w:id="815" w:name="_Toc14962"/>
      <w:bookmarkStart w:id="816" w:name="_Toc25105"/>
      <w:bookmarkStart w:id="817" w:name="_Toc8733"/>
      <w:bookmarkStart w:id="818" w:name="_Toc8682"/>
      <w:r>
        <w:t>6.4.2.3.1 Using FSPL model</w:t>
      </w:r>
      <w:bookmarkEnd w:id="810"/>
      <w:bookmarkEnd w:id="811"/>
      <w:bookmarkEnd w:id="812"/>
      <w:bookmarkEnd w:id="813"/>
      <w:bookmarkEnd w:id="814"/>
      <w:bookmarkEnd w:id="815"/>
      <w:bookmarkEnd w:id="816"/>
      <w:bookmarkEnd w:id="817"/>
      <w:bookmarkEnd w:id="818"/>
    </w:p>
    <w:p>
      <w:pPr>
        <w:keepNext/>
        <w:keepLines/>
        <w:spacing w:before="240"/>
        <w:jc w:val="center"/>
        <w:rPr>
          <w:rFonts w:ascii="Arial" w:hAnsi="Arial" w:cs="Arial"/>
          <w:b/>
        </w:rPr>
      </w:pPr>
      <w:r>
        <w:rPr>
          <w:rFonts w:ascii="Arial" w:hAnsi="Arial" w:cs="Arial"/>
          <w:b/>
        </w:rPr>
        <w:t>Table 6.4.2.3.1: Simulation results for Scenario 7 – 4GHz TN DL interfering ATG UL using FSPL model</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5%</w:t>
            </w:r>
            <w:r>
              <w:rPr>
                <w:rFonts w:hint="eastAsia" w:eastAsia="宋体"/>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&gt;500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75</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&gt;300</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45</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550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203</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val="en-IN" w:eastAsia="ko" w:bidi="ar"/>
              </w:rPr>
            </w:pPr>
            <w:r>
              <w:rPr>
                <w:rFonts w:eastAsia="Yu Mincho"/>
                <w:lang w:eastAsia="ko" w:bidi="ar"/>
              </w:rPr>
              <w:t>&gt;500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290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41</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47</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Huawei</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&gt;1000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rPr>
          <w:rFonts w:eastAsia="等线"/>
        </w:rPr>
      </w:pPr>
    </w:p>
    <w:p>
      <w:pPr>
        <w:pStyle w:val="6"/>
      </w:pPr>
      <w:bookmarkStart w:id="819" w:name="_Toc14436"/>
      <w:bookmarkStart w:id="820" w:name="_Toc13922"/>
      <w:bookmarkStart w:id="821" w:name="_Toc6949"/>
      <w:bookmarkStart w:id="822" w:name="_Toc2322"/>
      <w:bookmarkStart w:id="823" w:name="_Toc8855"/>
      <w:bookmarkStart w:id="824" w:name="_Toc28361"/>
      <w:bookmarkStart w:id="825" w:name="_Toc4635"/>
      <w:bookmarkStart w:id="826" w:name="_Toc26267"/>
      <w:bookmarkStart w:id="827" w:name="_Toc13174"/>
      <w:r>
        <w:t>6.4.2.3.2 Using RMa model in TR 38.901 with updating hUT as 30m</w:t>
      </w:r>
      <w:bookmarkEnd w:id="819"/>
      <w:bookmarkEnd w:id="820"/>
      <w:bookmarkEnd w:id="821"/>
      <w:bookmarkEnd w:id="822"/>
      <w:bookmarkEnd w:id="823"/>
      <w:bookmarkEnd w:id="824"/>
      <w:bookmarkEnd w:id="825"/>
      <w:bookmarkEnd w:id="826"/>
      <w:bookmarkEnd w:id="827"/>
    </w:p>
    <w:p>
      <w:pPr>
        <w:keepNext/>
        <w:keepLines/>
        <w:spacing w:before="240"/>
        <w:jc w:val="center"/>
        <w:rPr>
          <w:rFonts w:ascii="Arial" w:hAnsi="Arial" w:cs="Arial"/>
          <w:b/>
        </w:rPr>
      </w:pPr>
      <w:r>
        <w:rPr>
          <w:rFonts w:ascii="Arial" w:hAnsi="Arial" w:cs="Arial"/>
          <w:b/>
        </w:rPr>
        <w:t>Table 6.4.2.3.2: Simulation results for Scenario 7 – 4GHz TN DL interfering ATG UL using RMa model with hUT as 30m</w:t>
      </w:r>
    </w:p>
    <w:tbl>
      <w:tblPr>
        <w:tblStyle w:val="49"/>
        <w:tblW w:w="102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50"/>
        <w:gridCol w:w="850"/>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551"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5%</w:t>
            </w:r>
            <w:r>
              <w:rPr>
                <w:rFonts w:hint="eastAsia" w:eastAsia="宋体"/>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16</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9</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11</w:t>
            </w:r>
          </w:p>
        </w:tc>
        <w:tc>
          <w:tcPr>
            <w:tcW w:w="85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7</w:t>
            </w:r>
          </w:p>
        </w:tc>
        <w:tc>
          <w:tcPr>
            <w:tcW w:w="85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20</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18</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15</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0"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51"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pStyle w:val="5"/>
        <w:rPr>
          <w:lang w:val="sv-SE"/>
        </w:rPr>
      </w:pPr>
      <w:bookmarkStart w:id="828" w:name="_Toc20777"/>
      <w:bookmarkStart w:id="829" w:name="_Toc29476"/>
      <w:bookmarkStart w:id="830" w:name="_Toc15638"/>
      <w:bookmarkStart w:id="831" w:name="_Toc17424"/>
      <w:bookmarkStart w:id="832" w:name="_Toc18353"/>
      <w:bookmarkStart w:id="833" w:name="_Toc11295"/>
      <w:bookmarkStart w:id="834" w:name="_Toc24557"/>
      <w:bookmarkStart w:id="835" w:name="_Toc17174"/>
      <w:bookmarkStart w:id="836" w:name="_Toc16266"/>
      <w:r>
        <w:rPr>
          <w:lang w:val="sv-SE"/>
        </w:rPr>
        <w:t>6.4.2.4 Scenario 8: 4GHz TN UL interfering TN DL</w:t>
      </w:r>
      <w:bookmarkEnd w:id="828"/>
      <w:bookmarkEnd w:id="829"/>
      <w:bookmarkEnd w:id="830"/>
      <w:bookmarkEnd w:id="831"/>
      <w:bookmarkEnd w:id="832"/>
      <w:bookmarkEnd w:id="833"/>
      <w:bookmarkEnd w:id="834"/>
      <w:bookmarkEnd w:id="835"/>
      <w:bookmarkEnd w:id="836"/>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837" w:name="_Toc22321"/>
      <w:bookmarkStart w:id="838" w:name="_Toc155"/>
      <w:bookmarkStart w:id="839" w:name="_Toc14757"/>
      <w:bookmarkStart w:id="840" w:name="_Toc3135"/>
      <w:bookmarkStart w:id="841" w:name="_Toc7075"/>
      <w:bookmarkStart w:id="842" w:name="_Toc16382"/>
      <w:bookmarkStart w:id="843" w:name="_Toc18010"/>
      <w:bookmarkStart w:id="844" w:name="_Toc20681"/>
      <w:bookmarkStart w:id="845" w:name="_Toc10586"/>
      <w:r>
        <w:rPr>
          <w:lang w:val="sv-SE"/>
        </w:rPr>
        <w:t>6.4.2.5 Scenario 13: 4GHz TN UL interfering TN DL</w:t>
      </w:r>
      <w:bookmarkEnd w:id="837"/>
      <w:bookmarkEnd w:id="838"/>
      <w:bookmarkEnd w:id="839"/>
      <w:bookmarkEnd w:id="840"/>
      <w:bookmarkEnd w:id="841"/>
      <w:bookmarkEnd w:id="842"/>
      <w:bookmarkEnd w:id="843"/>
      <w:bookmarkEnd w:id="844"/>
      <w:bookmarkEnd w:id="845"/>
    </w:p>
    <w:p>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pPr>
        <w:pStyle w:val="5"/>
        <w:rPr>
          <w:lang w:val="sv-SE"/>
        </w:rPr>
      </w:pPr>
      <w:bookmarkStart w:id="846" w:name="_Toc20801"/>
      <w:bookmarkStart w:id="847" w:name="_Toc29426"/>
      <w:bookmarkStart w:id="848" w:name="_Toc32688"/>
      <w:bookmarkStart w:id="849" w:name="_Toc13887"/>
      <w:bookmarkStart w:id="850" w:name="_Toc30718"/>
      <w:bookmarkStart w:id="851" w:name="_Toc20461"/>
      <w:bookmarkStart w:id="852" w:name="_Toc9815"/>
      <w:bookmarkStart w:id="853" w:name="_Toc21646"/>
      <w:bookmarkStart w:id="854" w:name="_Toc4404"/>
      <w:r>
        <w:rPr>
          <w:lang w:val="sv-SE"/>
        </w:rPr>
        <w:t>6.4.2.6 Scenario 14: 2GHz TN DL interfering ATG UL</w:t>
      </w:r>
      <w:bookmarkEnd w:id="846"/>
      <w:bookmarkEnd w:id="847"/>
      <w:bookmarkEnd w:id="848"/>
      <w:bookmarkEnd w:id="849"/>
      <w:bookmarkEnd w:id="850"/>
      <w:bookmarkEnd w:id="851"/>
      <w:bookmarkEnd w:id="852"/>
      <w:bookmarkEnd w:id="853"/>
      <w:bookmarkEnd w:id="854"/>
    </w:p>
    <w:p>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pPr>
        <w:pStyle w:val="6"/>
      </w:pPr>
      <w:bookmarkStart w:id="855" w:name="_Toc9254"/>
      <w:bookmarkStart w:id="856" w:name="_Toc31733"/>
      <w:bookmarkStart w:id="857" w:name="_Toc29685"/>
      <w:bookmarkStart w:id="858" w:name="_Toc1347"/>
      <w:bookmarkStart w:id="859" w:name="_Toc13450"/>
      <w:bookmarkStart w:id="860" w:name="_Toc28658"/>
      <w:bookmarkStart w:id="861" w:name="_Toc964"/>
      <w:bookmarkStart w:id="862" w:name="_Toc21714"/>
      <w:bookmarkStart w:id="863" w:name="_Toc25107"/>
      <w:r>
        <w:t>6.4.2.6.1 Using FSPL model</w:t>
      </w:r>
      <w:bookmarkEnd w:id="855"/>
      <w:bookmarkEnd w:id="856"/>
      <w:bookmarkEnd w:id="857"/>
      <w:bookmarkEnd w:id="858"/>
      <w:bookmarkEnd w:id="859"/>
      <w:bookmarkEnd w:id="860"/>
      <w:bookmarkEnd w:id="861"/>
      <w:bookmarkEnd w:id="862"/>
      <w:bookmarkEnd w:id="863"/>
    </w:p>
    <w:p>
      <w:pPr>
        <w:keepNext/>
        <w:keepLines/>
        <w:spacing w:before="240"/>
        <w:jc w:val="center"/>
        <w:rPr>
          <w:rFonts w:ascii="Arial" w:hAnsi="Arial" w:cs="Arial"/>
          <w:b/>
        </w:rPr>
      </w:pPr>
      <w:r>
        <w:rPr>
          <w:rFonts w:ascii="Arial" w:hAnsi="Arial" w:cs="Arial"/>
          <w:b/>
        </w:rPr>
        <w:t>Table 6.4.2.6-1: Simulation results for Scenario 14 – 2GHz TN DL interfering ATG UL using FSPL model</w:t>
      </w:r>
    </w:p>
    <w:tbl>
      <w:tblPr>
        <w:tblStyle w:val="4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03"/>
        <w:gridCol w:w="80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5%</w:t>
            </w:r>
            <w:r>
              <w:rPr>
                <w:rFonts w:hint="eastAsia" w:eastAsia="宋体"/>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&gt;500</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&gt;100</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500</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75</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Huawei</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&gt;1000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220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Ericsson</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130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80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140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&gt;500</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90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70</w:t>
            </w:r>
          </w:p>
        </w:tc>
      </w:tr>
    </w:tbl>
    <w:p>
      <w:pPr>
        <w:rPr>
          <w:lang w:val="en-GB" w:eastAsia="ja-JP"/>
        </w:rPr>
      </w:pPr>
    </w:p>
    <w:p>
      <w:pPr>
        <w:pStyle w:val="6"/>
      </w:pPr>
      <w:bookmarkStart w:id="864" w:name="_Toc20654"/>
      <w:bookmarkStart w:id="865" w:name="_Toc30984"/>
      <w:bookmarkStart w:id="866" w:name="_Toc19145"/>
      <w:bookmarkStart w:id="867" w:name="_Toc23986"/>
      <w:bookmarkStart w:id="868" w:name="_Toc15229"/>
      <w:bookmarkStart w:id="869" w:name="_Toc18715"/>
      <w:bookmarkStart w:id="870" w:name="_Toc31148"/>
      <w:bookmarkStart w:id="871" w:name="_Toc15035"/>
      <w:bookmarkStart w:id="872" w:name="_Toc23858"/>
      <w:r>
        <w:t>6.4.2.6.2 Using RMa model in TR 38.901 with updating hUT as 30m</w:t>
      </w:r>
      <w:bookmarkEnd w:id="864"/>
      <w:bookmarkEnd w:id="865"/>
      <w:bookmarkEnd w:id="866"/>
      <w:bookmarkEnd w:id="867"/>
      <w:bookmarkEnd w:id="868"/>
      <w:bookmarkEnd w:id="869"/>
      <w:bookmarkEnd w:id="870"/>
      <w:bookmarkEnd w:id="871"/>
      <w:bookmarkEnd w:id="872"/>
    </w:p>
    <w:p>
      <w:pPr>
        <w:keepNext/>
        <w:keepLines/>
        <w:spacing w:before="240"/>
        <w:jc w:val="center"/>
        <w:rPr>
          <w:rFonts w:ascii="Arial" w:hAnsi="Arial" w:cs="Arial"/>
          <w:b/>
        </w:rPr>
      </w:pPr>
      <w:r>
        <w:rPr>
          <w:rFonts w:ascii="Arial" w:hAnsi="Arial" w:cs="Arial"/>
          <w:b/>
        </w:rPr>
        <w:t>Table 6.4.2.6-2: Simulation results for Scenario 14 – 2GHz TN DL interfering ATG UL using RMa model with hUT as 30m</w:t>
      </w:r>
    </w:p>
    <w:tbl>
      <w:tblPr>
        <w:tblStyle w:val="4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8"/>
        <w:gridCol w:w="4394"/>
        <w:gridCol w:w="803"/>
        <w:gridCol w:w="803"/>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rPr>
            </w:pPr>
            <w:r>
              <w:rPr>
                <w:rFonts w:eastAsia="Yu Mincho"/>
                <w:b/>
                <w:lang w:eastAsia="zh-CN" w:bidi="ar"/>
              </w:rPr>
              <w:t>Isolation distance (km) for 5% throughput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2410" w:type="dxa"/>
            <w:gridSpan w:val="3"/>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838"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eastAsia="zh-CN" w:bidi="ar"/>
              </w:rPr>
            </w:pPr>
          </w:p>
        </w:tc>
        <w:tc>
          <w:tcPr>
            <w:tcW w:w="1418" w:type="dxa"/>
            <w:vMerge w:val="continue"/>
            <w:tcBorders>
              <w:left w:val="single" w:color="auto" w:sz="4" w:space="0"/>
              <w:bottom w:val="single" w:color="auto" w:sz="4" w:space="0"/>
              <w:right w:val="single" w:color="auto" w:sz="4" w:space="0"/>
            </w:tcBorders>
          </w:tcPr>
          <w:p>
            <w:pPr>
              <w:keepNext/>
              <w:keepLines/>
              <w:spacing w:after="0"/>
              <w:jc w:val="center"/>
              <w:rPr>
                <w:rFonts w:eastAsia="Yu Mincho"/>
                <w:b/>
                <w:lang w:eastAsia="zh-CN" w:bidi="ar"/>
              </w:rPr>
            </w:pPr>
          </w:p>
        </w:tc>
        <w:tc>
          <w:tcPr>
            <w:tcW w:w="439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eastAsia="Yu Mincho"/>
                <w:b/>
                <w:lang w:val="en-IN" w:eastAsia="zh-CN" w:bidi="ar"/>
              </w:rPr>
            </w:pP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restart"/>
            <w:tcBorders>
              <w:top w:val="single" w:color="auto" w:sz="4" w:space="0"/>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CMCC</w:t>
            </w:r>
          </w:p>
          <w:p>
            <w:pPr>
              <w:jc w:val="center"/>
              <w:rPr>
                <w:rFonts w:eastAsia="Yu Mincho"/>
                <w:lang w:val="sv-SE" w:eastAsia="zh-CN"/>
              </w:rPr>
            </w:pPr>
          </w:p>
        </w:tc>
        <w:tc>
          <w:tcPr>
            <w:tcW w:w="1418" w:type="dxa"/>
            <w:vMerge w:val="restart"/>
            <w:tcBorders>
              <w:top w:val="single" w:color="auto" w:sz="4" w:space="0"/>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5%</w:t>
            </w:r>
            <w:r>
              <w:rPr>
                <w:rFonts w:hint="eastAsia" w:eastAsia="宋体"/>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18</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12</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sv-SE" w:eastAsia="ko"/>
              </w:rPr>
            </w:pPr>
            <w:r>
              <w:rPr>
                <w:rFonts w:eastAsia="Yu Mincho"/>
                <w:lang w:val="sv-SE" w:eastAsia="ko"/>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宋体"/>
                <w:lang w:eastAsia="zh-CN"/>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13</w:t>
            </w:r>
          </w:p>
        </w:tc>
        <w:tc>
          <w:tcPr>
            <w:tcW w:w="80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0</w:t>
            </w:r>
          </w:p>
        </w:tc>
        <w:tc>
          <w:tcPr>
            <w:tcW w:w="80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Yu Mincho"/>
                <w:lang w:val="en-IN" w:eastAsia="ko"/>
              </w:rPr>
            </w:pPr>
            <w:r>
              <w:rPr>
                <w:rFonts w:eastAsia="Yu Mincho"/>
                <w:lang w:val="en-IN" w:eastAsia="ko"/>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1838" w:type="dxa"/>
            <w:vMerge w:val="continue"/>
            <w:tcBorders>
              <w:left w:val="single" w:color="auto" w:sz="4" w:space="0"/>
              <w:right w:val="single" w:color="auto" w:sz="4" w:space="0"/>
            </w:tcBorders>
            <w:vAlign w:val="center"/>
          </w:tcPr>
          <w:p>
            <w:pPr>
              <w:jc w:val="cente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top w:val="single" w:color="auto" w:sz="4" w:space="0"/>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CATT</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26</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keepNext/>
              <w:keepLines/>
              <w:spacing w:after="0"/>
              <w:jc w:val="center"/>
              <w:rPr>
                <w:rFonts w:eastAsia="Yu Mincho"/>
                <w:lang w:val="sv-SE" w:eastAsia="zh-CN"/>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top w:val="single" w:color="auto" w:sz="4" w:space="0"/>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22</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18</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ZTE</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17</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10</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restart"/>
            <w:tcBorders>
              <w:left w:val="single" w:color="auto" w:sz="4" w:space="0"/>
              <w:right w:val="single" w:color="auto" w:sz="4" w:space="0"/>
            </w:tcBorders>
            <w:vAlign w:val="center"/>
          </w:tcPr>
          <w:p>
            <w:pPr>
              <w:keepNext/>
              <w:keepLines/>
              <w:spacing w:after="0"/>
              <w:jc w:val="center"/>
              <w:rPr>
                <w:rFonts w:eastAsia="Yu Mincho"/>
                <w:lang w:val="sv-SE" w:eastAsia="zh-CN"/>
              </w:rPr>
            </w:pPr>
            <w:r>
              <w:rPr>
                <w:rFonts w:eastAsia="Yu Mincho"/>
                <w:lang w:val="sv-SE" w:eastAsia="zh-CN"/>
              </w:rPr>
              <w:t>Qualcomm</w:t>
            </w:r>
          </w:p>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5</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restart"/>
            <w:tcBorders>
              <w:left w:val="single" w:color="auto" w:sz="4" w:space="0"/>
              <w:right w:val="single" w:color="auto" w:sz="4" w:space="0"/>
            </w:tcBorders>
          </w:tcPr>
          <w:p>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5%</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1838" w:type="dxa"/>
            <w:vMerge w:val="continue"/>
            <w:tcBorders>
              <w:left w:val="single" w:color="auto" w:sz="4" w:space="0"/>
              <w:right w:val="single" w:color="auto" w:sz="4" w:space="0"/>
            </w:tcBorders>
            <w:vAlign w:val="center"/>
          </w:tcPr>
          <w:p>
            <w:pPr>
              <w:rPr>
                <w:rFonts w:eastAsia="Yu Mincho"/>
              </w:rPr>
            </w:pPr>
          </w:p>
        </w:tc>
        <w:tc>
          <w:tcPr>
            <w:tcW w:w="1418" w:type="dxa"/>
            <w:vMerge w:val="continue"/>
            <w:tcBorders>
              <w:left w:val="single" w:color="auto" w:sz="4" w:space="0"/>
              <w:right w:val="single" w:color="auto" w:sz="4" w:space="0"/>
            </w:tcBorders>
          </w:tcPr>
          <w:p>
            <w:pPr>
              <w:keepNext/>
              <w:keepLines/>
              <w:spacing w:after="0"/>
              <w:jc w:val="center"/>
              <w:rPr>
                <w:rFonts w:eastAsia="Malgun Gothic"/>
                <w:lang w:eastAsia="ko" w:bidi="ar"/>
              </w:rPr>
            </w:pPr>
          </w:p>
        </w:tc>
        <w:tc>
          <w:tcPr>
            <w:tcW w:w="4394" w:type="dxa"/>
            <w:tcBorders>
              <w:left w:val="single" w:color="auto" w:sz="4" w:space="0"/>
              <w:right w:val="single" w:color="auto" w:sz="4" w:space="0"/>
            </w:tcBorders>
            <w:vAlign w:val="center"/>
          </w:tcPr>
          <w:p>
            <w:pPr>
              <w:keepNext/>
              <w:keepLines/>
              <w:spacing w:after="0"/>
              <w:jc w:val="center"/>
              <w:rPr>
                <w:rFonts w:eastAsia="Malgun Gothic"/>
                <w:lang w:eastAsia="ko" w:bidi="ar"/>
              </w:rPr>
            </w:pPr>
            <w:r>
              <w:rPr>
                <w:rFonts w:eastAsia="Malgun Gothic"/>
                <w:lang w:eastAsia="ko" w:bidi="ar"/>
              </w:rPr>
              <w:t>Average of all users</w:t>
            </w:r>
            <w:r>
              <w:rPr>
                <w:rFonts w:hint="eastAsia" w:eastAsia="宋体"/>
                <w:lang w:eastAsia="zh-CN" w:bidi="ar"/>
              </w:rPr>
              <w:t xml:space="preserve"> in the whole network</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3"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c>
          <w:tcPr>
            <w:tcW w:w="804" w:type="dxa"/>
            <w:tcBorders>
              <w:left w:val="single" w:color="auto" w:sz="4" w:space="0"/>
              <w:right w:val="single" w:color="auto" w:sz="4" w:space="0"/>
            </w:tcBorders>
            <w:vAlign w:val="center"/>
          </w:tcPr>
          <w:p>
            <w:pPr>
              <w:keepNext/>
              <w:keepLines/>
              <w:spacing w:after="0"/>
              <w:jc w:val="center"/>
              <w:rPr>
                <w:rFonts w:eastAsia="Yu Mincho"/>
                <w:lang w:eastAsia="ko" w:bidi="ar"/>
              </w:rPr>
            </w:pPr>
            <w:r>
              <w:rPr>
                <w:rFonts w:eastAsia="Yu Mincho"/>
                <w:lang w:eastAsia="ko" w:bidi="ar"/>
              </w:rPr>
              <w:t>-</w:t>
            </w:r>
          </w:p>
        </w:tc>
      </w:tr>
    </w:tbl>
    <w:p>
      <w:pPr>
        <w:pStyle w:val="3"/>
        <w:keepNext/>
        <w:keepLines/>
        <w:spacing w:before="180"/>
        <w:ind w:left="1134"/>
        <w:outlineLvl w:val="1"/>
        <w:rPr>
          <w:lang w:eastAsia="ja-JP"/>
        </w:rPr>
      </w:pPr>
      <w:bookmarkStart w:id="873" w:name="_Toc21203"/>
      <w:bookmarkStart w:id="874" w:name="_Toc29355"/>
      <w:bookmarkStart w:id="875" w:name="_Toc28747"/>
      <w:bookmarkStart w:id="876" w:name="_Toc7310"/>
      <w:bookmarkStart w:id="877" w:name="_Toc22501"/>
      <w:bookmarkStart w:id="878" w:name="_Toc1587"/>
      <w:bookmarkStart w:id="879" w:name="_Toc30864"/>
      <w:bookmarkStart w:id="880" w:name="_Toc16786"/>
      <w:r>
        <w:rPr>
          <w:lang w:eastAsia="ja-JP"/>
        </w:rPr>
        <w:t>6.5 Summary of co-existence study</w:t>
      </w:r>
      <w:bookmarkEnd w:id="873"/>
      <w:bookmarkEnd w:id="874"/>
      <w:bookmarkEnd w:id="875"/>
      <w:bookmarkEnd w:id="876"/>
      <w:bookmarkEnd w:id="877"/>
      <w:bookmarkEnd w:id="878"/>
      <w:bookmarkEnd w:id="879"/>
      <w:bookmarkEnd w:id="880"/>
    </w:p>
    <w:p>
      <w:pPr>
        <w:pStyle w:val="4"/>
      </w:pPr>
      <w:bookmarkStart w:id="881" w:name="_Toc4730"/>
      <w:bookmarkStart w:id="882" w:name="_Toc24273"/>
      <w:bookmarkStart w:id="883" w:name="_Toc9030"/>
      <w:bookmarkStart w:id="884" w:name="_Toc18338"/>
      <w:bookmarkStart w:id="885" w:name="_Toc21643"/>
      <w:bookmarkStart w:id="886" w:name="_Toc19174"/>
      <w:bookmarkStart w:id="887" w:name="_Toc26103"/>
      <w:bookmarkStart w:id="888" w:name="_Toc17745"/>
      <w:bookmarkStart w:id="889" w:name="_Toc27624"/>
      <w:r>
        <w:t>6.5.1 Synchronized Scenarios</w:t>
      </w:r>
      <w:bookmarkEnd w:id="881"/>
      <w:bookmarkEnd w:id="882"/>
      <w:bookmarkEnd w:id="883"/>
      <w:bookmarkEnd w:id="884"/>
      <w:bookmarkEnd w:id="885"/>
      <w:bookmarkEnd w:id="886"/>
      <w:bookmarkEnd w:id="887"/>
      <w:bookmarkEnd w:id="888"/>
      <w:bookmarkEnd w:id="889"/>
    </w:p>
    <w:p>
      <w:r>
        <w:t xml:space="preserve">This sub-clause captures the summary of the co-existence studies for the synchronized scenarios. </w:t>
      </w:r>
    </w:p>
    <w:p>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pPr>
        <w:pStyle w:val="76"/>
      </w:pPr>
      <w:r>
        <w:t>Table 6.5.1-1: ACLR and ACS of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28" w:type="dxa"/>
            <w:gridSpan w:val="2"/>
            <w:shd w:val="clear" w:color="auto" w:fill="auto"/>
          </w:tcPr>
          <w:p>
            <w:pPr>
              <w:pStyle w:val="67"/>
            </w:pPr>
            <w:r>
              <w:t>TN</w:t>
            </w:r>
          </w:p>
        </w:tc>
        <w:tc>
          <w:tcPr>
            <w:tcW w:w="2610" w:type="dxa"/>
            <w:shd w:val="clear" w:color="auto" w:fill="auto"/>
          </w:tcPr>
          <w:p>
            <w:pPr>
              <w:pStyle w:val="67"/>
            </w:pPr>
            <w: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pStyle w:val="68"/>
            </w:pPr>
            <w:r>
              <w:t>BS</w:t>
            </w:r>
          </w:p>
        </w:tc>
        <w:tc>
          <w:tcPr>
            <w:tcW w:w="1350" w:type="dxa"/>
            <w:shd w:val="clear" w:color="auto" w:fill="auto"/>
            <w:vAlign w:val="center"/>
          </w:tcPr>
          <w:p>
            <w:pPr>
              <w:pStyle w:val="68"/>
            </w:pPr>
            <w:r>
              <w:t>ACLR</w:t>
            </w:r>
          </w:p>
        </w:tc>
        <w:tc>
          <w:tcPr>
            <w:tcW w:w="2610" w:type="dxa"/>
            <w:shd w:val="clear" w:color="auto" w:fill="auto"/>
          </w:tcPr>
          <w:p>
            <w:pPr>
              <w:pStyle w:val="68"/>
            </w:pPr>
            <w: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pStyle w:val="68"/>
            </w:pPr>
          </w:p>
        </w:tc>
        <w:tc>
          <w:tcPr>
            <w:tcW w:w="1350" w:type="dxa"/>
            <w:shd w:val="clear" w:color="auto" w:fill="auto"/>
            <w:vAlign w:val="center"/>
          </w:tcPr>
          <w:p>
            <w:pPr>
              <w:pStyle w:val="68"/>
            </w:pPr>
            <w:r>
              <w:t>ACS</w:t>
            </w:r>
          </w:p>
        </w:tc>
        <w:tc>
          <w:tcPr>
            <w:tcW w:w="2610" w:type="dxa"/>
            <w:shd w:val="clear" w:color="auto" w:fill="auto"/>
          </w:tcPr>
          <w:p>
            <w:pPr>
              <w:pStyle w:val="68"/>
            </w:pPr>
            <w: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pStyle w:val="68"/>
            </w:pPr>
            <w:r>
              <w:t>UE</w:t>
            </w:r>
          </w:p>
        </w:tc>
        <w:tc>
          <w:tcPr>
            <w:tcW w:w="1350" w:type="dxa"/>
            <w:shd w:val="clear" w:color="auto" w:fill="auto"/>
            <w:vAlign w:val="center"/>
          </w:tcPr>
          <w:p>
            <w:pPr>
              <w:pStyle w:val="68"/>
            </w:pPr>
            <w:r>
              <w:t>ACLR</w:t>
            </w:r>
          </w:p>
        </w:tc>
        <w:tc>
          <w:tcPr>
            <w:tcW w:w="2610" w:type="dxa"/>
            <w:shd w:val="clear" w:color="auto" w:fill="auto"/>
          </w:tcPr>
          <w:p>
            <w:pPr>
              <w:pStyle w:val="68"/>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pStyle w:val="68"/>
            </w:pPr>
          </w:p>
        </w:tc>
        <w:tc>
          <w:tcPr>
            <w:tcW w:w="1350" w:type="dxa"/>
            <w:shd w:val="clear" w:color="auto" w:fill="auto"/>
            <w:vAlign w:val="center"/>
          </w:tcPr>
          <w:p>
            <w:pPr>
              <w:pStyle w:val="68"/>
            </w:pPr>
            <w:r>
              <w:t>ACS</w:t>
            </w:r>
          </w:p>
        </w:tc>
        <w:tc>
          <w:tcPr>
            <w:tcW w:w="2610" w:type="dxa"/>
            <w:shd w:val="clear" w:color="auto" w:fill="auto"/>
          </w:tcPr>
          <w:p>
            <w:pPr>
              <w:pStyle w:val="68"/>
            </w:pPr>
            <w:r>
              <w:t>33 dB</w:t>
            </w:r>
          </w:p>
        </w:tc>
      </w:tr>
    </w:tbl>
    <w:p>
      <w:pPr>
        <w:keepNext/>
        <w:keepLines/>
        <w:spacing w:before="240"/>
        <w:jc w:val="center"/>
        <w:rPr>
          <w:rFonts w:ascii="Arial" w:hAnsi="Arial" w:eastAsia="等线" w:cs="Arial"/>
          <w:b/>
        </w:rPr>
      </w:pPr>
      <w:r>
        <w:rPr>
          <w:rFonts w:ascii="Arial" w:hAnsi="Arial" w:eastAsia="等线" w:cs="Arial"/>
          <w:b/>
        </w:rPr>
        <w:t>Table 6.5.1-2: Co-existence results suggested ACLR and ACS of ATG system</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28" w:type="dxa"/>
            <w:gridSpan w:val="2"/>
            <w:shd w:val="clear" w:color="auto" w:fill="auto"/>
          </w:tcPr>
          <w:p>
            <w:pPr>
              <w:keepNext/>
              <w:keepLines/>
              <w:spacing w:after="0"/>
              <w:jc w:val="center"/>
              <w:rPr>
                <w:b/>
                <w:sz w:val="18"/>
              </w:rPr>
            </w:pPr>
            <w:r>
              <w:rPr>
                <w:b/>
                <w:sz w:val="18"/>
              </w:rPr>
              <w:t>ATG</w:t>
            </w:r>
          </w:p>
        </w:tc>
        <w:tc>
          <w:tcPr>
            <w:tcW w:w="2610" w:type="dxa"/>
            <w:shd w:val="clear" w:color="auto" w:fill="auto"/>
          </w:tcPr>
          <w:p>
            <w:pPr>
              <w:keepNext/>
              <w:keepLines/>
              <w:spacing w:after="0"/>
              <w:jc w:val="center"/>
              <w:rPr>
                <w:b/>
                <w:sz w:val="18"/>
              </w:rPr>
            </w:pPr>
            <w:r>
              <w:rPr>
                <w:b/>
                <w:sz w:val="18"/>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sz w:val="18"/>
              </w:rPr>
            </w:pPr>
            <w:r>
              <w:rPr>
                <w:sz w:val="18"/>
              </w:rPr>
              <w:t>BS</w:t>
            </w:r>
          </w:p>
        </w:tc>
        <w:tc>
          <w:tcPr>
            <w:tcW w:w="1350" w:type="dxa"/>
            <w:shd w:val="clear" w:color="auto" w:fill="auto"/>
            <w:vAlign w:val="center"/>
          </w:tcPr>
          <w:p>
            <w:pPr>
              <w:keepNext/>
              <w:keepLines/>
              <w:spacing w:after="0"/>
              <w:jc w:val="center"/>
              <w:rPr>
                <w:sz w:val="18"/>
              </w:rPr>
            </w:pPr>
            <w:r>
              <w:rPr>
                <w:sz w:val="18"/>
              </w:rPr>
              <w:t>ACLR</w:t>
            </w:r>
          </w:p>
        </w:tc>
        <w:tc>
          <w:tcPr>
            <w:tcW w:w="2610" w:type="dxa"/>
            <w:shd w:val="clear" w:color="auto" w:fill="auto"/>
          </w:tcPr>
          <w:p>
            <w:pPr>
              <w:keepNext/>
              <w:keepLines/>
              <w:spacing w:after="0"/>
              <w:jc w:val="center"/>
              <w:rPr>
                <w:sz w:val="18"/>
              </w:rPr>
            </w:pPr>
            <w: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sz w:val="18"/>
              </w:rPr>
            </w:pPr>
          </w:p>
        </w:tc>
        <w:tc>
          <w:tcPr>
            <w:tcW w:w="1350" w:type="dxa"/>
            <w:shd w:val="clear" w:color="auto" w:fill="auto"/>
            <w:vAlign w:val="center"/>
          </w:tcPr>
          <w:p>
            <w:pPr>
              <w:keepNext/>
              <w:keepLines/>
              <w:spacing w:after="0"/>
              <w:jc w:val="center"/>
              <w:rPr>
                <w:sz w:val="18"/>
              </w:rPr>
            </w:pPr>
            <w:r>
              <w:rPr>
                <w:sz w:val="18"/>
              </w:rPr>
              <w:t>ACS</w:t>
            </w:r>
          </w:p>
        </w:tc>
        <w:tc>
          <w:tcPr>
            <w:tcW w:w="2610" w:type="dxa"/>
            <w:shd w:val="clear" w:color="auto" w:fill="auto"/>
          </w:tcPr>
          <w:p>
            <w:pPr>
              <w:keepNext/>
              <w:keepLines/>
              <w:spacing w:after="0"/>
              <w:jc w:val="center"/>
              <w:rPr>
                <w:sz w:val="18"/>
              </w:rPr>
            </w:pPr>
            <w: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shd w:val="clear" w:color="auto" w:fill="auto"/>
            <w:vAlign w:val="center"/>
          </w:tcPr>
          <w:p>
            <w:pPr>
              <w:keepNext/>
              <w:keepLines/>
              <w:spacing w:after="0"/>
              <w:jc w:val="center"/>
              <w:rPr>
                <w:sz w:val="18"/>
              </w:rPr>
            </w:pPr>
            <w:r>
              <w:rPr>
                <w:sz w:val="18"/>
              </w:rPr>
              <w:t>UE</w:t>
            </w:r>
          </w:p>
        </w:tc>
        <w:tc>
          <w:tcPr>
            <w:tcW w:w="1350" w:type="dxa"/>
            <w:shd w:val="clear" w:color="auto" w:fill="auto"/>
            <w:vAlign w:val="center"/>
          </w:tcPr>
          <w:p>
            <w:pPr>
              <w:keepNext/>
              <w:keepLines/>
              <w:spacing w:after="0"/>
              <w:jc w:val="center"/>
              <w:rPr>
                <w:sz w:val="18"/>
              </w:rPr>
            </w:pPr>
            <w:r>
              <w:rPr>
                <w:sz w:val="18"/>
              </w:rPr>
              <w:t>ACLR</w:t>
            </w:r>
          </w:p>
        </w:tc>
        <w:tc>
          <w:tcPr>
            <w:tcW w:w="2610" w:type="dxa"/>
            <w:shd w:val="clear" w:color="auto" w:fill="auto"/>
          </w:tcPr>
          <w:p>
            <w:pPr>
              <w:keepNext/>
              <w:keepLines/>
              <w:spacing w:after="0"/>
              <w:jc w:val="center"/>
              <w:rPr>
                <w:sz w:val="18"/>
              </w:rPr>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shd w:val="clear" w:color="auto" w:fill="auto"/>
            <w:vAlign w:val="center"/>
          </w:tcPr>
          <w:p>
            <w:pPr>
              <w:keepNext/>
              <w:keepLines/>
              <w:spacing w:after="0"/>
              <w:jc w:val="center"/>
              <w:rPr>
                <w:sz w:val="18"/>
              </w:rPr>
            </w:pPr>
          </w:p>
        </w:tc>
        <w:tc>
          <w:tcPr>
            <w:tcW w:w="1350" w:type="dxa"/>
            <w:shd w:val="clear" w:color="auto" w:fill="auto"/>
            <w:vAlign w:val="center"/>
          </w:tcPr>
          <w:p>
            <w:pPr>
              <w:keepNext/>
              <w:keepLines/>
              <w:spacing w:after="0"/>
              <w:jc w:val="center"/>
              <w:rPr>
                <w:sz w:val="18"/>
              </w:rPr>
            </w:pPr>
            <w:r>
              <w:rPr>
                <w:sz w:val="18"/>
              </w:rPr>
              <w:t>ACS</w:t>
            </w:r>
          </w:p>
        </w:tc>
        <w:tc>
          <w:tcPr>
            <w:tcW w:w="2610" w:type="dxa"/>
            <w:shd w:val="clear" w:color="auto" w:fill="auto"/>
          </w:tcPr>
          <w:p>
            <w:pPr>
              <w:keepNext/>
              <w:keepLines/>
              <w:spacing w:after="0"/>
              <w:jc w:val="center"/>
              <w:rPr>
                <w:sz w:val="18"/>
              </w:rPr>
            </w:pPr>
            <w:r>
              <w:t>33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5238" w:type="dxa"/>
            <w:gridSpan w:val="3"/>
            <w:shd w:val="clear" w:color="auto" w:fill="auto"/>
            <w:vAlign w:val="center"/>
          </w:tcPr>
          <w:p>
            <w:pPr>
              <w:keepNext/>
              <w:keepLines/>
              <w:spacing w:after="0"/>
              <w:jc w:val="both"/>
            </w:pPr>
            <w:r>
              <w:t>NOTE 1: Higher interference maybe caused by aircraft at lower altitudes in the applicable range.</w:t>
            </w:r>
          </w:p>
        </w:tc>
      </w:tr>
    </w:tbl>
    <w:p>
      <w:pPr>
        <w:pStyle w:val="4"/>
        <w:keepNext/>
        <w:keepLines/>
        <w:spacing w:before="40" w:after="0" w:line="259" w:lineRule="auto"/>
        <w:outlineLvl w:val="2"/>
        <w:rPr>
          <w:lang w:val="en-US" w:eastAsia="en-US"/>
        </w:rPr>
      </w:pPr>
      <w:bookmarkStart w:id="890" w:name="_Toc12659"/>
      <w:bookmarkStart w:id="891" w:name="_Toc1482"/>
      <w:bookmarkStart w:id="892" w:name="_Toc20108"/>
      <w:bookmarkStart w:id="893" w:name="_Toc9266"/>
      <w:bookmarkStart w:id="894" w:name="_Toc2358"/>
      <w:bookmarkStart w:id="895" w:name="_Toc5137"/>
      <w:bookmarkStart w:id="896" w:name="_Toc3458"/>
      <w:bookmarkStart w:id="897" w:name="_Toc7287"/>
      <w:r>
        <w:rPr>
          <w:lang w:val="en-US" w:eastAsia="en-US"/>
        </w:rPr>
        <w:t>6.5.2 Non-Synchronized Scenarios</w:t>
      </w:r>
      <w:bookmarkEnd w:id="890"/>
      <w:bookmarkEnd w:id="891"/>
      <w:bookmarkEnd w:id="892"/>
      <w:bookmarkEnd w:id="893"/>
      <w:bookmarkEnd w:id="894"/>
      <w:bookmarkEnd w:id="895"/>
      <w:bookmarkEnd w:id="896"/>
      <w:bookmarkEnd w:id="897"/>
    </w:p>
    <w:p>
      <w:pPr>
        <w:overflowPunct/>
        <w:autoSpaceDE/>
        <w:autoSpaceDN/>
        <w:adjustRightInd/>
        <w:spacing w:after="160" w:line="259" w:lineRule="auto"/>
        <w:textAlignment w:val="auto"/>
        <w:rPr>
          <w:rFonts w:hint="default" w:ascii="Times New Roman" w:hAnsi="Times New Roman" w:eastAsia="Calibri" w:cs="Times New Roman"/>
          <w:szCs w:val="22"/>
          <w:lang w:val="en-US" w:eastAsia="en-US"/>
        </w:rPr>
      </w:pPr>
      <w:r>
        <w:rPr>
          <w:rFonts w:hint="default" w:ascii="Times New Roman" w:hAnsi="Times New Roman" w:eastAsia="Calibri" w:cs="Times New Roman"/>
          <w:szCs w:val="22"/>
          <w:lang w:val="en-US" w:eastAsia="en-US"/>
        </w:rPr>
        <w:t>This sub-clause captures the summary of the co-existence studies for the non-synchronized scenarios.</w:t>
      </w:r>
    </w:p>
    <w:p>
      <w:pPr>
        <w:overflowPunct/>
        <w:autoSpaceDE/>
        <w:autoSpaceDN/>
        <w:adjustRightInd/>
        <w:spacing w:after="160" w:line="259" w:lineRule="auto"/>
        <w:textAlignment w:val="auto"/>
        <w:rPr>
          <w:rFonts w:hint="default" w:ascii="Times New Roman" w:hAnsi="Times New Roman" w:eastAsia="Calibri" w:cs="Times New Roman"/>
          <w:sz w:val="20"/>
          <w:szCs w:val="20"/>
          <w:lang w:val="en-US" w:eastAsia="en-US"/>
        </w:rPr>
      </w:pPr>
      <w:r>
        <w:rPr>
          <w:rFonts w:hint="default" w:ascii="Times New Roman" w:hAnsi="Times New Roman" w:eastAsia="Calibri" w:cs="Times New Roman"/>
          <w:sz w:val="20"/>
          <w:szCs w:val="22"/>
          <w:lang w:val="en-US" w:eastAsia="en-US"/>
        </w:rPr>
        <w:t xml:space="preserve">Two </w:t>
      </w:r>
      <w:r>
        <w:rPr>
          <w:rFonts w:hint="default" w:ascii="Times New Roman" w:hAnsi="Times New Roman" w:eastAsia="Calibri" w:cs="Times New Roman"/>
          <w:sz w:val="20"/>
          <w:szCs w:val="20"/>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pPr>
        <w:numPr>
          <w:ilvl w:val="0"/>
          <w:numId w:val="8"/>
        </w:numPr>
        <w:spacing w:after="0" w:line="259" w:lineRule="auto"/>
        <w:ind w:left="720" w:hanging="360"/>
        <w:rPr>
          <w:rFonts w:hint="default" w:ascii="Times New Roman" w:hAnsi="Times New Roman" w:eastAsia="Calibri" w:cs="Times New Roman"/>
          <w:b w:val="0"/>
          <w:bCs w:val="0"/>
          <w:sz w:val="20"/>
          <w:szCs w:val="20"/>
          <w:lang w:val="zh-CN" w:eastAsia="en-US" w:bidi="ar-SA"/>
        </w:rPr>
      </w:pPr>
      <w:r>
        <w:rPr>
          <w:rFonts w:hint="default" w:ascii="Times New Roman" w:hAnsi="Times New Roman" w:eastAsia="Calibri" w:cs="Times New Roman"/>
          <w:b w:val="0"/>
          <w:bCs w:val="0"/>
          <w:sz w:val="20"/>
          <w:szCs w:val="20"/>
          <w:lang w:val="en-IN" w:eastAsia="en-US" w:bidi="ar-SA"/>
        </w:rPr>
        <w:t>Free Space Path Loss model</w:t>
      </w: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sz w:val="20"/>
          <w:szCs w:val="20"/>
          <w:lang w:val="en-IN" w:eastAsia="en-US" w:bidi="ar-SA"/>
        </w:rPr>
        <w:t xml:space="preserve">Interference may arise through a range of </w:t>
      </w:r>
      <w:r>
        <w:rPr>
          <w:rFonts w:hint="default" w:ascii="Times New Roman" w:hAnsi="Times New Roman" w:eastAsia="宋体" w:cs="Times New Roman"/>
          <w:sz w:val="20"/>
          <w:szCs w:val="20"/>
          <w:lang w:val="en-US" w:eastAsia="zh-CN" w:bidi="ar-SA"/>
        </w:rPr>
        <w:t>propagation mechanisms whose individual dominance depends on climate, radio frequency, time percentage of interest, distance, and path topography. Free space modeling is one of such mechanism.</w:t>
      </w:r>
    </w:p>
    <w:p>
      <w:pPr>
        <w:numPr>
          <w:ilvl w:val="0"/>
          <w:numId w:val="8"/>
        </w:numPr>
        <w:spacing w:after="0" w:line="259" w:lineRule="auto"/>
        <w:ind w:left="720" w:hanging="360"/>
        <w:jc w:val="both"/>
        <w:rPr>
          <w:rFonts w:hint="default" w:ascii="Times New Roman" w:hAnsi="Times New Roman" w:eastAsia="Calibri" w:cs="Times New Roman"/>
          <w:b w:val="0"/>
          <w:bCs w:val="0"/>
          <w:sz w:val="20"/>
          <w:szCs w:val="20"/>
          <w:lang w:val="zh-CN" w:eastAsia="en-US" w:bidi="ar-SA"/>
        </w:rPr>
      </w:pPr>
      <w:r>
        <w:rPr>
          <w:rFonts w:hint="default" w:ascii="Times New Roman" w:hAnsi="Times New Roman" w:eastAsia="宋体" w:cs="Times New Roman"/>
          <w:b w:val="0"/>
          <w:bCs w:val="0"/>
          <w:sz w:val="20"/>
          <w:szCs w:val="20"/>
          <w:lang w:val="en-US" w:eastAsia="zh-CN" w:bidi="ar-SA"/>
        </w:rPr>
        <w:t>RMa model in TR 38.901 with updating hUT as 30m</w:t>
      </w: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MS Mincho" w:cs="Times New Roman"/>
          <w:sz w:val="20"/>
          <w:szCs w:val="20"/>
          <w:lang w:val="en-GB" w:eastAsia="en-US" w:bidi="ar-SA"/>
        </w:rPr>
        <w:t>The applicable range of User Terminal antenna height- hUT in the proposed RMa Pathloss model is -</w:t>
      </w:r>
    </w:p>
    <w:p>
      <w:pPr>
        <w:spacing w:after="0" w:line="259" w:lineRule="auto"/>
        <w:ind w:left="1440"/>
        <w:jc w:val="center"/>
        <w:rPr>
          <w:rFonts w:hint="default" w:ascii="Times New Roman" w:hAnsi="Times New Roman" w:eastAsia="MS Mincho" w:cs="Times New Roman"/>
          <w:sz w:val="20"/>
          <w:szCs w:val="20"/>
          <w:lang w:val="en-GB" w:eastAsia="en-US" w:bidi="ar-SA"/>
        </w:rPr>
      </w:pPr>
      <w:r>
        <w:rPr>
          <w:rFonts w:hint="default" w:ascii="Times New Roman" w:hAnsi="Times New Roman" w:eastAsia="Calibri" w:cs="Times New Roman"/>
          <w:position w:val="-12"/>
          <w:sz w:val="20"/>
          <w:szCs w:val="20"/>
          <w:lang w:val="zh-CN" w:eastAsia="en-US" w:bidi="ar-SA"/>
        </w:rPr>
        <w:object>
          <v:shape id="_x0000_i1090" o:spt="75" type="#_x0000_t75" style="height:20.75pt;width:79.5pt;" o:ole="t" filled="f" o:preferrelative="t" stroked="f" coordsize="21600,21600">
            <v:path/>
            <v:fill on="f" focussize="0,0"/>
            <v:stroke on="f" joinstyle="miter"/>
            <v:imagedata r:id="rId212" o:title=""/>
            <o:lock v:ext="edit" aspectratio="t"/>
            <w10:wrap type="none"/>
            <w10:anchorlock/>
          </v:shape>
          <o:OLEObject Type="Embed" ProgID="Equation.3" ShapeID="_x0000_i1090" DrawAspect="Content" ObjectID="_1468075789" r:id="rId211">
            <o:LockedField>false</o:LockedField>
          </o:OLEObject>
        </w:object>
      </w:r>
    </w:p>
    <w:p>
      <w:pPr>
        <w:spacing w:after="0" w:line="259" w:lineRule="auto"/>
        <w:ind w:left="1440"/>
        <w:jc w:val="both"/>
        <w:rPr>
          <w:rFonts w:hint="default" w:ascii="Times New Roman" w:hAnsi="Times New Roman" w:eastAsia="MS Mincho" w:cs="Times New Roman"/>
          <w:sz w:val="20"/>
          <w:szCs w:val="20"/>
          <w:lang w:val="en-GB" w:eastAsia="en-US" w:bidi="ar-SA"/>
        </w:rPr>
      </w:pPr>
      <w:r>
        <w:rPr>
          <w:rFonts w:hint="default" w:ascii="Times New Roman" w:hAnsi="Times New Roman" w:eastAsia="MS Mincho" w:cs="Times New Roman"/>
          <w:sz w:val="20"/>
          <w:szCs w:val="20"/>
          <w:lang w:val="en-GB" w:eastAsia="en-US" w:bidi="ar-SA"/>
        </w:rPr>
        <w:t>, whereas in the simulations, hUT has been considered as 30m which is above the limit.</w:t>
      </w:r>
    </w:p>
    <w:p>
      <w:pPr>
        <w:spacing w:after="0" w:line="259" w:lineRule="auto"/>
        <w:ind w:left="1440"/>
        <w:jc w:val="both"/>
        <w:rPr>
          <w:rFonts w:hint="default" w:ascii="Times New Roman" w:hAnsi="Times New Roman" w:eastAsia="Calibri" w:cs="Times New Roman"/>
          <w:sz w:val="20"/>
          <w:szCs w:val="20"/>
          <w:lang w:val="zh-CN" w:eastAsia="en-US" w:bidi="ar-SA"/>
        </w:rPr>
      </w:pPr>
    </w:p>
    <w:p>
      <w:pPr>
        <w:numPr>
          <w:ilvl w:val="1"/>
          <w:numId w:val="8"/>
        </w:numPr>
        <w:spacing w:after="0" w:line="259" w:lineRule="auto"/>
        <w:ind w:left="144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sz w:val="20"/>
          <w:szCs w:val="20"/>
          <w:lang w:val="en-US" w:eastAsia="zh-CN" w:bidi="ar-SA"/>
        </w:rPr>
        <w:t>T</w:t>
      </w:r>
      <w:r>
        <w:rPr>
          <w:rFonts w:hint="default" w:ascii="Times New Roman" w:hAnsi="Times New Roman" w:eastAsia="MS Mincho" w:cs="Times New Roman"/>
          <w:sz w:val="20"/>
          <w:szCs w:val="20"/>
          <w:lang w:val="en-GB" w:eastAsia="en-US" w:bidi="ar-SA"/>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pPr>
        <w:overflowPunct/>
        <w:autoSpaceDE/>
        <w:autoSpaceDN/>
        <w:adjustRightInd/>
        <w:spacing w:after="160" w:line="259" w:lineRule="auto"/>
        <w:jc w:val="both"/>
        <w:textAlignment w:val="auto"/>
        <w:rPr>
          <w:rFonts w:hint="default" w:ascii="Times New Roman" w:hAnsi="Times New Roman" w:eastAsia="Calibri" w:cs="Times New Roman"/>
          <w:sz w:val="20"/>
          <w:szCs w:val="20"/>
          <w:lang w:val="en-US" w:eastAsia="en-US"/>
        </w:rPr>
      </w:pPr>
      <w:r>
        <w:rPr>
          <w:rFonts w:hint="default" w:ascii="Times New Roman" w:hAnsi="Times New Roman" w:eastAsia="Calibri" w:cs="Times New Roman"/>
          <w:sz w:val="20"/>
          <w:szCs w:val="20"/>
          <w:lang w:val="en-US" w:eastAsia="en-US"/>
        </w:rPr>
        <w:t>Considering the simulation results in Sub-clause 6.4.2 and the highlig</w:t>
      </w:r>
      <w:r>
        <w:rPr>
          <w:rFonts w:hint="default" w:ascii="Times New Roman" w:hAnsi="Times New Roman" w:eastAsia="Calibri" w:cs="Times New Roman"/>
          <w:b w:val="0"/>
          <w:bCs w:val="0"/>
          <w:sz w:val="20"/>
          <w:szCs w:val="20"/>
          <w:lang w:val="en-US" w:eastAsia="en-US"/>
        </w:rPr>
        <w:t xml:space="preserve">hted above limitations, following observations </w:t>
      </w:r>
      <w:r>
        <w:rPr>
          <w:rFonts w:hint="default" w:ascii="Times New Roman" w:hAnsi="Times New Roman" w:eastAsia="Calibri" w:cs="Times New Roman"/>
          <w:sz w:val="20"/>
          <w:szCs w:val="20"/>
          <w:lang w:val="en-US" w:eastAsia="en-US"/>
        </w:rPr>
        <w:t xml:space="preserve">are made based on the propagation models </w:t>
      </w:r>
    </w:p>
    <w:p>
      <w:pPr>
        <w:numPr>
          <w:ilvl w:val="0"/>
          <w:numId w:val="8"/>
        </w:numPr>
        <w:spacing w:after="0" w:line="259" w:lineRule="auto"/>
        <w:ind w:left="72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b w:val="0"/>
          <w:bCs w:val="0"/>
          <w:sz w:val="20"/>
          <w:szCs w:val="20"/>
          <w:lang w:val="en-IN" w:eastAsia="en-US" w:bidi="ar-SA"/>
        </w:rPr>
        <w:t xml:space="preserve">Optimistic isolation distances in the multiples of tens of kilometres, based on RMa pathloss model in TR 38.901 with hUT as 30m, </w:t>
      </w:r>
      <w:r>
        <w:rPr>
          <w:rFonts w:hint="default" w:ascii="Times New Roman" w:hAnsi="Times New Roman" w:eastAsia="Calibri" w:cs="Times New Roman"/>
          <w:sz w:val="20"/>
          <w:szCs w:val="20"/>
          <w:lang w:val="en-IN" w:eastAsia="en-US" w:bidi="ar-SA"/>
        </w:rPr>
        <w:t>when the angle between ATG BS boresight and nearest TN boresight in azimuth are 0°, 30° and 60°.</w:t>
      </w:r>
    </w:p>
    <w:p>
      <w:pPr>
        <w:numPr>
          <w:ilvl w:val="0"/>
          <w:numId w:val="8"/>
        </w:numPr>
        <w:spacing w:after="0" w:line="259" w:lineRule="auto"/>
        <w:ind w:left="720" w:hanging="360"/>
        <w:jc w:val="both"/>
        <w:rPr>
          <w:rFonts w:hint="default" w:ascii="Times New Roman" w:hAnsi="Times New Roman" w:eastAsia="Calibri" w:cs="Times New Roman"/>
          <w:sz w:val="20"/>
          <w:szCs w:val="20"/>
          <w:lang w:val="zh-CN" w:eastAsia="en-US" w:bidi="ar-SA"/>
        </w:rPr>
      </w:pPr>
      <w:r>
        <w:rPr>
          <w:rFonts w:hint="default" w:ascii="Times New Roman" w:hAnsi="Times New Roman" w:eastAsia="Calibri" w:cs="Times New Roman"/>
          <w:b w:val="0"/>
          <w:bCs w:val="0"/>
          <w:sz w:val="20"/>
          <w:szCs w:val="20"/>
          <w:lang w:val="en-IN" w:eastAsia="en-US" w:bidi="ar-SA"/>
        </w:rPr>
        <w:t>Pessimistic isolation distances in the multiples of tens to multiples of hundreds of kilometres, based on Free space Pathloss model</w:t>
      </w:r>
      <w:r>
        <w:rPr>
          <w:rFonts w:hint="default" w:ascii="Times New Roman" w:hAnsi="Times New Roman" w:eastAsia="Calibri" w:cs="Times New Roman"/>
          <w:sz w:val="20"/>
          <w:szCs w:val="20"/>
          <w:lang w:val="en-IN" w:eastAsia="en-US" w:bidi="ar-SA"/>
        </w:rPr>
        <w:t>, when the angle between ATG BS boresight and nearest TN boresight in azimuth are 0°, 30° and 60°.</w:t>
      </w:r>
    </w:p>
    <w:p>
      <w:pPr>
        <w:pStyle w:val="100"/>
        <w:rPr>
          <w:color w:val="auto"/>
          <w:lang w:eastAsia="zh-CN"/>
        </w:rPr>
      </w:pPr>
    </w:p>
    <w:p>
      <w:pPr>
        <w:pStyle w:val="2"/>
        <w:rPr>
          <w:lang w:val="sv-SE" w:eastAsia="zh-CN"/>
        </w:rPr>
      </w:pPr>
      <w:bookmarkStart w:id="898" w:name="_Toc133498148"/>
      <w:bookmarkStart w:id="899" w:name="_Toc27881"/>
      <w:bookmarkStart w:id="900" w:name="_Toc21251"/>
      <w:bookmarkStart w:id="901" w:name="_Toc20044"/>
      <w:bookmarkStart w:id="902" w:name="_Toc19482"/>
      <w:bookmarkStart w:id="903" w:name="_Toc29395"/>
      <w:bookmarkStart w:id="904" w:name="_Toc26619"/>
      <w:bookmarkStart w:id="905" w:name="_Toc18752"/>
      <w:bookmarkStart w:id="906" w:name="_Toc9729"/>
      <w:bookmarkStart w:id="907" w:name="_Toc6725"/>
      <w:r>
        <w:rPr>
          <w:rFonts w:hint="eastAsia"/>
          <w:lang w:val="sv-SE" w:eastAsia="zh-CN"/>
        </w:rPr>
        <w:t>7</w:t>
      </w:r>
      <w:r>
        <w:rPr>
          <w:lang w:val="sv-SE"/>
        </w:rPr>
        <w:tab/>
      </w:r>
      <w:r>
        <w:rPr>
          <w:rFonts w:hint="eastAsia"/>
          <w:lang w:val="sv-SE" w:eastAsia="zh-CN"/>
        </w:rPr>
        <w:t>RF requirements</w:t>
      </w:r>
      <w:bookmarkEnd w:id="898"/>
      <w:bookmarkEnd w:id="899"/>
      <w:bookmarkEnd w:id="900"/>
      <w:bookmarkEnd w:id="901"/>
      <w:bookmarkEnd w:id="902"/>
      <w:bookmarkEnd w:id="903"/>
      <w:bookmarkEnd w:id="904"/>
      <w:bookmarkEnd w:id="905"/>
      <w:bookmarkEnd w:id="906"/>
      <w:bookmarkEnd w:id="907"/>
    </w:p>
    <w:p>
      <w:pPr>
        <w:pStyle w:val="3"/>
        <w:ind w:left="0" w:firstLine="0"/>
        <w:rPr>
          <w:lang w:eastAsia="zh-CN"/>
        </w:rPr>
      </w:pPr>
      <w:bookmarkStart w:id="908" w:name="_Toc20745"/>
      <w:bookmarkStart w:id="909" w:name="_Toc133498149"/>
      <w:bookmarkStart w:id="910" w:name="_Toc3841"/>
      <w:bookmarkStart w:id="911" w:name="_Toc31224"/>
      <w:bookmarkStart w:id="912" w:name="_Toc6884"/>
      <w:bookmarkStart w:id="913" w:name="_Toc8417"/>
      <w:bookmarkStart w:id="914" w:name="_Toc8065"/>
      <w:bookmarkStart w:id="915" w:name="_Toc13356"/>
      <w:bookmarkStart w:id="916" w:name="_Toc21500"/>
      <w:bookmarkStart w:id="917" w:name="_Toc22492"/>
      <w:r>
        <w:rPr>
          <w:rFonts w:hint="eastAsia"/>
          <w:lang w:eastAsia="zh-CN"/>
        </w:rPr>
        <w:t>7</w:t>
      </w:r>
      <w:r>
        <w:t>.1</w:t>
      </w:r>
      <w:r>
        <w:tab/>
      </w:r>
      <w:r>
        <w:rPr>
          <w:rFonts w:hint="eastAsia"/>
          <w:lang w:eastAsia="zh-CN"/>
        </w:rPr>
        <w:t xml:space="preserve">ATG </w:t>
      </w:r>
      <w:r>
        <w:rPr>
          <w:lang w:eastAsia="zh-CN"/>
        </w:rPr>
        <w:t>UE</w:t>
      </w:r>
      <w:r>
        <w:t xml:space="preserve"> specific</w:t>
      </w:r>
      <w:bookmarkEnd w:id="908"/>
      <w:bookmarkEnd w:id="909"/>
      <w:bookmarkEnd w:id="910"/>
      <w:bookmarkEnd w:id="911"/>
      <w:bookmarkEnd w:id="912"/>
      <w:bookmarkEnd w:id="913"/>
      <w:bookmarkEnd w:id="914"/>
      <w:bookmarkEnd w:id="915"/>
      <w:bookmarkEnd w:id="916"/>
      <w:bookmarkEnd w:id="917"/>
    </w:p>
    <w:p>
      <w:pPr>
        <w:pStyle w:val="4"/>
      </w:pPr>
      <w:bookmarkStart w:id="918" w:name="_Toc6182"/>
      <w:bookmarkStart w:id="919" w:name="_Toc16525"/>
      <w:bookmarkStart w:id="920" w:name="_Toc133498150"/>
      <w:bookmarkStart w:id="921" w:name="_Toc21120"/>
      <w:bookmarkStart w:id="922" w:name="_Toc31798"/>
      <w:bookmarkStart w:id="923" w:name="_Toc4307"/>
      <w:bookmarkStart w:id="924" w:name="_Toc23197"/>
      <w:bookmarkStart w:id="925" w:name="_Toc14639"/>
      <w:bookmarkStart w:id="926" w:name="_Toc17300"/>
      <w:bookmarkStart w:id="927" w:name="_Toc2501"/>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918"/>
      <w:bookmarkEnd w:id="919"/>
      <w:bookmarkEnd w:id="920"/>
      <w:bookmarkEnd w:id="921"/>
      <w:bookmarkEnd w:id="922"/>
      <w:bookmarkEnd w:id="923"/>
      <w:bookmarkEnd w:id="924"/>
      <w:bookmarkEnd w:id="925"/>
      <w:bookmarkEnd w:id="926"/>
      <w:bookmarkEnd w:id="927"/>
    </w:p>
    <w:p>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宋体"/>
          <w:szCs w:val="24"/>
          <w:lang w:eastAsia="zh-CN"/>
        </w:rPr>
        <w:t>he rated maximum output power at maximum modulation order and full PRB configurations</w:t>
      </w:r>
      <w:r>
        <w:rPr>
          <w:rFonts w:hint="eastAsia" w:eastAsia="宋体"/>
          <w:szCs w:val="24"/>
          <w:lang w:val="en-US" w:eastAsia="zh-CN"/>
        </w:rPr>
        <w:t xml:space="preserve"> </w:t>
      </w:r>
      <w:r>
        <w:rPr>
          <w:rFonts w:hint="eastAsia"/>
          <w:lang w:val="en-US" w:eastAsia="zh-CN"/>
        </w:rPr>
        <w:t>and its capability report granularity as 1dB. The range of its power limit are defined as following:</w:t>
      </w:r>
    </w:p>
    <w:p>
      <w:pPr>
        <w:pStyle w:val="74"/>
        <w:rPr>
          <w:lang w:val="en-US" w:eastAsia="en-US"/>
        </w:rPr>
      </w:pPr>
      <w:r>
        <w:rPr>
          <w:lang w:eastAsia="en-US"/>
        </w:rPr>
        <w:t>-</w:t>
      </w:r>
      <w:r>
        <w:rPr>
          <w:lang w:eastAsia="en-US"/>
        </w:rPr>
        <w:tab/>
      </w:r>
      <w:r>
        <w:rPr>
          <w:lang w:eastAsia="en-US"/>
        </w:rPr>
        <w:t>The lower limit of conductive MOP or TRP of ATG UE is 23 dBm</w:t>
      </w:r>
    </w:p>
    <w:p>
      <w:pPr>
        <w:pStyle w:val="74"/>
        <w:rPr>
          <w:lang w:eastAsia="en-US"/>
        </w:rPr>
      </w:pPr>
      <w:r>
        <w:rPr>
          <w:lang w:eastAsia="en-US"/>
        </w:rPr>
        <w:t>-</w:t>
      </w:r>
      <w:r>
        <w:rPr>
          <w:lang w:eastAsia="en-US"/>
        </w:rPr>
        <w:tab/>
      </w:r>
      <w:r>
        <w:rPr>
          <w:lang w:eastAsia="en-US"/>
        </w:rPr>
        <w:t xml:space="preserve">The upper limit </w:t>
      </w:r>
      <w:r>
        <w:rPr>
          <w:rFonts w:hint="eastAsia" w:eastAsia="宋体"/>
          <w:lang w:val="en-US" w:eastAsia="zh-CN"/>
        </w:rPr>
        <w:t xml:space="preserve">of </w:t>
      </w:r>
      <w:r>
        <w:rPr>
          <w:lang w:eastAsia="en-US"/>
        </w:rPr>
        <w:t>conductive MOP or TRP of ATG UE</w:t>
      </w:r>
      <w:r>
        <w:rPr>
          <w:rFonts w:hint="eastAsia" w:eastAsia="宋体"/>
          <w:lang w:val="en-US" w:eastAsia="zh-CN"/>
        </w:rPr>
        <w:t xml:space="preserve"> is 40</w:t>
      </w:r>
      <w:r>
        <w:rPr>
          <w:rFonts w:eastAsia="宋体"/>
          <w:lang w:val="en-US" w:eastAsia="zh-CN"/>
        </w:rPr>
        <w:t xml:space="preserve"> </w:t>
      </w:r>
      <w:r>
        <w:rPr>
          <w:rFonts w:hint="eastAsia" w:eastAsia="宋体"/>
          <w:lang w:val="en-US" w:eastAsia="zh-CN"/>
        </w:rPr>
        <w:t>dBm</w:t>
      </w:r>
    </w:p>
    <w:p>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pPr>
        <w:pStyle w:val="4"/>
        <w:rPr>
          <w:lang w:eastAsia="zh-CN"/>
        </w:rPr>
      </w:pPr>
      <w:bookmarkStart w:id="928" w:name="_Toc24927"/>
      <w:bookmarkStart w:id="929" w:name="_Toc16129"/>
      <w:bookmarkStart w:id="930" w:name="_Toc27783"/>
      <w:bookmarkStart w:id="931" w:name="_Toc3762"/>
      <w:bookmarkStart w:id="932" w:name="_Toc133498151"/>
      <w:bookmarkStart w:id="933" w:name="_Toc15066"/>
      <w:bookmarkStart w:id="934" w:name="_Toc11436"/>
      <w:bookmarkStart w:id="935" w:name="_Toc26938"/>
      <w:bookmarkStart w:id="936" w:name="_Toc10333"/>
      <w:bookmarkStart w:id="937" w:name="_Toc17644"/>
      <w:r>
        <w:rPr>
          <w:rFonts w:hint="eastAsia"/>
        </w:rPr>
        <w:t>7.</w:t>
      </w:r>
      <w:r>
        <w:rPr>
          <w:rFonts w:hint="eastAsia"/>
          <w:lang w:eastAsia="zh-CN"/>
        </w:rPr>
        <w:t>1</w:t>
      </w:r>
      <w:r>
        <w:rPr>
          <w:rFonts w:hint="eastAsia"/>
        </w:rPr>
        <w:t xml:space="preserve">.2 </w:t>
      </w:r>
      <w:r>
        <w:rPr>
          <w:rFonts w:hint="eastAsia"/>
          <w:lang w:eastAsia="zh-CN"/>
        </w:rPr>
        <w:t>Tx requirements</w:t>
      </w:r>
      <w:bookmarkEnd w:id="928"/>
      <w:bookmarkEnd w:id="929"/>
      <w:bookmarkEnd w:id="930"/>
      <w:bookmarkEnd w:id="931"/>
      <w:bookmarkEnd w:id="932"/>
      <w:bookmarkEnd w:id="933"/>
      <w:bookmarkEnd w:id="934"/>
      <w:bookmarkEnd w:id="935"/>
      <w:bookmarkEnd w:id="936"/>
      <w:bookmarkEnd w:id="937"/>
    </w:p>
    <w:p>
      <w:pPr>
        <w:pStyle w:val="5"/>
        <w:numPr>
          <w:ilvl w:val="-1"/>
          <w:numId w:val="0"/>
        </w:numPr>
        <w:spacing w:after="0"/>
        <w:rPr>
          <w:lang w:eastAsia="zh-CN"/>
        </w:rPr>
      </w:pPr>
      <w:bookmarkStart w:id="938" w:name="_Toc22347"/>
      <w:bookmarkStart w:id="939" w:name="_Toc10573"/>
      <w:bookmarkStart w:id="940" w:name="_Toc133498152"/>
      <w:bookmarkStart w:id="941" w:name="_Toc9908"/>
      <w:bookmarkStart w:id="942" w:name="_Toc15635"/>
      <w:bookmarkStart w:id="943" w:name="_Toc22178"/>
      <w:bookmarkStart w:id="944" w:name="_Toc29450"/>
      <w:bookmarkStart w:id="945" w:name="_Toc10894"/>
      <w:bookmarkStart w:id="946" w:name="_Toc16064"/>
      <w:bookmarkStart w:id="947" w:name="_Toc11778"/>
      <w:r>
        <w:rPr>
          <w:lang w:eastAsia="zh-CN"/>
        </w:rPr>
        <w:t>7.1.2.1 Frequency error</w:t>
      </w:r>
      <w:bookmarkEnd w:id="938"/>
      <w:bookmarkEnd w:id="939"/>
      <w:bookmarkEnd w:id="940"/>
      <w:bookmarkEnd w:id="941"/>
      <w:bookmarkEnd w:id="942"/>
      <w:bookmarkEnd w:id="943"/>
      <w:bookmarkEnd w:id="944"/>
      <w:bookmarkEnd w:id="945"/>
      <w:bookmarkEnd w:id="946"/>
      <w:bookmarkEnd w:id="947"/>
    </w:p>
    <w:p>
      <w:pPr>
        <w:jc w:val="both"/>
      </w:pPr>
      <w:r>
        <w:t xml:space="preserve">The doppler frequency for ATG UE can be determined by, </w:t>
      </w:r>
    </w:p>
    <w:p>
      <w:pPr>
        <w:jc w:val="both"/>
      </w:pPr>
      <m:oMathPara>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D</m:t>
              </m:r>
              <m:ctrlPr>
                <w:rPr>
                  <w:rFonts w:ascii="Cambria Math" w:hAnsi="Cambria Math"/>
                  <w:i/>
                </w:rPr>
              </m:ctrlPr>
            </m:sub>
          </m:sSub>
          <m:r>
            <m:rPr/>
            <w:rPr>
              <w:rFonts w:ascii="Cambria Math" w:hAnsi="Cambria Math"/>
            </w:rPr>
            <m:t xml:space="preserve"> =  cosθ∗</m:t>
          </m:r>
          <m:f>
            <m:fPr>
              <m:ctrlPr>
                <w:rPr>
                  <w:rFonts w:ascii="Cambria Math" w:hAnsi="Cambria Math"/>
                  <w:i/>
                </w:rPr>
              </m:ctrlPr>
            </m:fPr>
            <m:num>
              <m:r>
                <m:rPr/>
                <w:rPr>
                  <w:rFonts w:ascii="Cambria Math" w:hAnsi="Cambria Math"/>
                </w:rPr>
                <m:t>v</m:t>
              </m:r>
              <m:ctrlPr>
                <w:rPr>
                  <w:rFonts w:ascii="Cambria Math" w:hAnsi="Cambria Math"/>
                  <w:i/>
                </w:rPr>
              </m:ctrlPr>
            </m:num>
            <m:den>
              <m:r>
                <m:rPr/>
                <w:rPr>
                  <w:rFonts w:ascii="Cambria Math" w:hAnsi="Cambria Math"/>
                </w:rPr>
                <m:t>c</m:t>
              </m:r>
              <m:ctrlPr>
                <w:rPr>
                  <w:rFonts w:ascii="Cambria Math" w:hAnsi="Cambria Math"/>
                  <w:i/>
                </w:rPr>
              </m:ctrlPr>
            </m:den>
          </m:f>
          <m:r>
            <m:rPr/>
            <w:rPr>
              <w:rFonts w:ascii="Cambria Math" w:hAnsi="Cambria Math" w:cs="Cambria Math" w:eastAsiaTheme="minorEastAsia"/>
            </w:rPr>
            <m:t>∗</m:t>
          </m:r>
          <m:r>
            <m:rPr/>
            <w:rPr>
              <w:rFonts w:ascii="Cambria Math" w:hAnsi="Cambria Math"/>
            </w:rPr>
            <m:t>f_c</m:t>
          </m:r>
        </m:oMath>
      </m:oMathPara>
    </w:p>
    <w:p>
      <w:pPr>
        <w:jc w:val="both"/>
      </w:pPr>
      <w:r>
        <w:t>Where,</w:t>
      </w:r>
    </w:p>
    <w:p>
      <w:pPr>
        <w:pStyle w:val="74"/>
      </w:pPr>
      <w:r>
        <w:t>-</w:t>
      </w:r>
      <w:r>
        <w:tab/>
      </w:r>
      <w:r>
        <w:t>f</w:t>
      </w:r>
      <w:r>
        <w:rPr>
          <w:vertAlign w:val="subscript"/>
        </w:rPr>
        <w:t>D</w:t>
      </w:r>
      <w:r>
        <w:t xml:space="preserve"> is Doppler frequency, f_c is the carrier frequency, which is set as 5GHz for n79. </w:t>
      </w:r>
    </w:p>
    <w:p>
      <w:pPr>
        <w:pStyle w:val="74"/>
      </w:pPr>
      <w:r>
        <w:t>-</w:t>
      </w:r>
      <w:r>
        <w:tab/>
      </w:r>
      <w:r>
        <w:t>v is the speed of the aircraft which is 1200km/h.</w:t>
      </w:r>
    </w:p>
    <w:p>
      <w:pPr>
        <w:pStyle w:val="74"/>
      </w:pPr>
      <w:r>
        <w:t>-</w:t>
      </w:r>
      <w:r>
        <w:tab/>
      </w:r>
      <m:oMath>
        <m:r>
          <m:rPr/>
          <w:rPr>
            <w:rFonts w:ascii="Cambria Math" w:hAnsi="Cambria Math"/>
          </w:rPr>
          <m:t>θ</m:t>
        </m:r>
      </m:oMath>
      <w:r>
        <w:t xml:space="preserve"> is the elevation angle between UE and gNB. </w:t>
      </w:r>
    </w:p>
    <w:p>
      <w:pPr>
        <w:jc w:val="both"/>
      </w:pPr>
      <w:r>
        <w:t xml:space="preserve">Since the </w:t>
      </w:r>
      <w:r>
        <w:rPr>
          <w:rFonts w:hint="eastAsia" w:eastAsia="宋体"/>
          <w:lang w:val="en-US" w:eastAsia="zh-CN"/>
        </w:rPr>
        <w:t>potential</w:t>
      </w:r>
      <w:r>
        <w:t xml:space="preserve"> maximum cell range is up to 200-300km [</w:t>
      </w:r>
      <w:r>
        <w:rPr>
          <w:rFonts w:hint="eastAsia" w:eastAsia="宋体"/>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hint="eastAsia" w:eastAsia="宋体"/>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pPr>
        <w:jc w:val="both"/>
        <w:rPr>
          <w:lang w:val="en-US" w:eastAsia="zh-CN"/>
        </w:rPr>
      </w:pPr>
      <w:r>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hint="eastAsia" w:eastAsia="宋体"/>
          <w:lang w:val="en-US" w:eastAsia="zh-CN"/>
        </w:rPr>
        <w:t xml:space="preserve"> if </w:t>
      </w:r>
      <w:r>
        <w:rPr>
          <w:rFonts w:eastAsia="宋体"/>
          <w:lang w:val="en-US" w:eastAsia="zh-CN"/>
        </w:rPr>
        <w:t>pre-compensation is based on SIB19</w:t>
      </w:r>
      <w:r>
        <w:t xml:space="preserve">. </w:t>
      </w:r>
      <w:r>
        <w:rPr>
          <w:lang w:val="en-US" w:eastAsia="zh-CN"/>
        </w:rPr>
        <w:t>Where, Ephemeris may be expressed in format of position and velocity state vector].</w:t>
      </w:r>
    </w:p>
    <w:p>
      <w:pPr>
        <w:pStyle w:val="5"/>
        <w:spacing w:before="120" w:beforeAutospacing="1" w:after="312" w:afterLines="100"/>
        <w:outlineLvl w:val="3"/>
        <w:rPr>
          <w:lang w:eastAsia="zh-CN"/>
        </w:rPr>
      </w:pPr>
      <w:bookmarkStart w:id="948" w:name="_Toc32255"/>
      <w:bookmarkStart w:id="949" w:name="_Toc31247"/>
      <w:bookmarkStart w:id="950" w:name="_Toc9456"/>
      <w:bookmarkStart w:id="951" w:name="_Toc24415"/>
      <w:bookmarkStart w:id="952" w:name="_Toc22081"/>
      <w:bookmarkStart w:id="953" w:name="_Toc1575"/>
      <w:bookmarkStart w:id="954" w:name="_Toc20243"/>
      <w:bookmarkStart w:id="955" w:name="_Toc15246"/>
      <w:r>
        <w:rPr>
          <w:lang w:eastAsia="zh-CN"/>
        </w:rPr>
        <w:t>7.1.2.2 MOP requirements</w:t>
      </w:r>
      <w:bookmarkEnd w:id="948"/>
      <w:bookmarkEnd w:id="949"/>
      <w:bookmarkEnd w:id="950"/>
      <w:bookmarkEnd w:id="951"/>
      <w:bookmarkEnd w:id="952"/>
      <w:bookmarkEnd w:id="953"/>
      <w:bookmarkEnd w:id="954"/>
      <w:bookmarkEnd w:id="955"/>
    </w:p>
    <w:p>
      <w:pPr>
        <w:rPr>
          <w:rFonts w:eastAsia="宋体"/>
          <w:lang w:eastAsia="zh-CN"/>
        </w:rPr>
      </w:pPr>
      <w:r>
        <w:rPr>
          <w:rFonts w:hint="eastAsia" w:eastAsia="宋体"/>
          <w:lang w:eastAsia="zh-CN"/>
        </w:rPr>
        <w:t>F</w:t>
      </w:r>
      <w:r>
        <w:rPr>
          <w:rFonts w:eastAsia="宋体"/>
          <w:lang w:eastAsia="zh-CN"/>
        </w:rPr>
        <w:t xml:space="preserve">or ATG UE, the maximum output power is </w:t>
      </w:r>
      <w:r>
        <w:rPr>
          <w:rFonts w:hint="eastAsia" w:eastAsia="宋体"/>
          <w:lang w:val="en-US" w:eastAsia="zh-CN"/>
        </w:rPr>
        <w:t>declared</w:t>
      </w:r>
      <w:r>
        <w:rPr>
          <w:rFonts w:eastAsia="宋体"/>
          <w:lang w:eastAsia="zh-CN"/>
        </w:rPr>
        <w:t xml:space="preserve"> at maximum modulation order and full PRB configurations within the channel bandwidth of NR carrier unless otherwise stated. The period of measurement shall be at least one sub frame (1ms). </w:t>
      </w:r>
    </w:p>
    <w:p>
      <w:pPr>
        <w:rPr>
          <w:rFonts w:eastAsia="宋体"/>
          <w:lang w:eastAsia="zh-CN"/>
        </w:rPr>
      </w:pPr>
      <w:r>
        <w:rPr>
          <w:rFonts w:eastAsia="宋体"/>
          <w:lang w:eastAsia="zh-CN"/>
        </w:rPr>
        <w:t xml:space="preserve">ATG UE implementations/antenna patterns </w:t>
      </w:r>
      <w:r>
        <w:rPr>
          <w:rFonts w:hint="eastAsia" w:eastAsia="宋体"/>
          <w:lang w:val="en-US" w:eastAsia="zh-CN"/>
        </w:rPr>
        <w:t>might be</w:t>
      </w:r>
      <w:r>
        <w:rPr>
          <w:rFonts w:eastAsia="宋体"/>
          <w:lang w:eastAsia="zh-CN"/>
        </w:rPr>
        <w:t xml:space="preserve"> </w:t>
      </w:r>
      <w:r>
        <w:rPr>
          <w:rFonts w:hint="eastAsia" w:eastAsia="宋体"/>
          <w:lang w:val="en-US" w:eastAsia="zh-CN"/>
        </w:rPr>
        <w:t>varying</w:t>
      </w:r>
      <w:r>
        <w:rPr>
          <w:rFonts w:eastAsia="宋体"/>
          <w:lang w:eastAsia="zh-CN"/>
        </w:rPr>
        <w:t xml:space="preserve"> for different operating bands. The output power from the UE may depend on the aircraft type and exact deployment scenario. Currently, there is a lack of knowledge in 3GPP of the </w:t>
      </w:r>
      <w:r>
        <w:rPr>
          <w:rFonts w:hint="eastAsia" w:eastAsia="宋体"/>
          <w:lang w:val="en-US" w:eastAsia="zh-CN"/>
        </w:rPr>
        <w:t>appropriate</w:t>
      </w:r>
      <w:r>
        <w:rPr>
          <w:rFonts w:eastAsia="宋体"/>
          <w:lang w:eastAsia="zh-CN"/>
        </w:rPr>
        <w:t xml:space="preserve"> output power for an ATG UE considering all design</w:t>
      </w:r>
      <w:r>
        <w:rPr>
          <w:rFonts w:hint="eastAsia" w:eastAsia="宋体"/>
          <w:lang w:val="en-US" w:eastAsia="zh-CN"/>
        </w:rPr>
        <w:t>,</w:t>
      </w:r>
      <w:r>
        <w:rPr>
          <w:rFonts w:eastAsia="宋体"/>
          <w:lang w:val="en-US" w:eastAsia="zh-CN"/>
        </w:rPr>
        <w:t xml:space="preserve"> </w:t>
      </w:r>
      <w:r>
        <w:rPr>
          <w:rFonts w:eastAsia="宋体"/>
          <w:lang w:eastAsia="zh-CN"/>
        </w:rPr>
        <w:t>regulatory constraints</w:t>
      </w:r>
      <w:r>
        <w:rPr>
          <w:rFonts w:hint="eastAsia" w:eastAsia="宋体"/>
          <w:lang w:val="en-US" w:eastAsia="zh-CN"/>
        </w:rPr>
        <w:t xml:space="preserve"> and potential avionics device protection</w:t>
      </w:r>
      <w:r>
        <w:rPr>
          <w:rFonts w:eastAsia="宋体"/>
          <w:lang w:eastAsia="zh-CN"/>
        </w:rPr>
        <w:t xml:space="preserve">. For this reason, it </w:t>
      </w:r>
      <w:r>
        <w:rPr>
          <w:rFonts w:hint="eastAsia" w:eastAsia="宋体"/>
          <w:lang w:val="en-US" w:eastAsia="zh-CN"/>
        </w:rPr>
        <w:t xml:space="preserve">is </w:t>
      </w:r>
      <w:r>
        <w:rPr>
          <w:rFonts w:eastAsia="宋体"/>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pPr>
        <w:pStyle w:val="5"/>
        <w:spacing w:before="120" w:beforeAutospacing="1" w:after="312" w:afterLines="100"/>
        <w:outlineLvl w:val="3"/>
        <w:rPr>
          <w:lang w:eastAsia="zh-CN"/>
        </w:rPr>
      </w:pPr>
      <w:bookmarkStart w:id="956" w:name="_Toc15251"/>
      <w:bookmarkStart w:id="957" w:name="_Toc7183"/>
      <w:bookmarkStart w:id="958" w:name="_Toc12573"/>
      <w:bookmarkStart w:id="959" w:name="_Toc29660"/>
      <w:bookmarkStart w:id="960" w:name="_Toc1495"/>
      <w:bookmarkStart w:id="961" w:name="_Toc9184"/>
      <w:bookmarkStart w:id="962" w:name="_Toc32411"/>
      <w:bookmarkStart w:id="963" w:name="_Toc12081"/>
      <w:r>
        <w:rPr>
          <w:lang w:eastAsia="zh-CN"/>
        </w:rPr>
        <w:t>7.1.2.3 MPR/AMPR requirements</w:t>
      </w:r>
      <w:bookmarkEnd w:id="956"/>
      <w:bookmarkEnd w:id="957"/>
      <w:bookmarkEnd w:id="958"/>
      <w:bookmarkEnd w:id="959"/>
      <w:bookmarkEnd w:id="960"/>
      <w:bookmarkEnd w:id="961"/>
      <w:bookmarkEnd w:id="962"/>
      <w:bookmarkEnd w:id="963"/>
    </w:p>
    <w:p>
      <w:pPr>
        <w:rPr>
          <w:rFonts w:eastAsia="宋体"/>
          <w:lang w:eastAsia="zh-CN"/>
        </w:rPr>
      </w:pPr>
      <w:r>
        <w:rPr>
          <w:rFonts w:eastAsia="宋体"/>
          <w:lang w:eastAsia="zh-CN"/>
        </w:rPr>
        <w:t xml:space="preserve">ATG UE is allowed to declare the output power at </w:t>
      </w:r>
      <w:r>
        <w:rPr>
          <w:rFonts w:hint="eastAsia" w:eastAsia="宋体"/>
          <w:lang w:val="en-US" w:eastAsia="zh-CN"/>
        </w:rPr>
        <w:t xml:space="preserve">supported </w:t>
      </w:r>
      <w:r>
        <w:rPr>
          <w:rFonts w:eastAsia="宋体"/>
          <w:lang w:eastAsia="zh-CN"/>
        </w:rPr>
        <w:t>maximum modulation order and full PRB configurations. Thus, MPR/AMPR requirements are not needed as ATG UE can declare a lower power when</w:t>
      </w:r>
      <w:r>
        <w:rPr>
          <w:rFonts w:hint="eastAsia" w:eastAsia="宋体"/>
          <w:lang w:val="en-US" w:eastAsia="zh-CN"/>
        </w:rPr>
        <w:t>ever</w:t>
      </w:r>
      <w:r>
        <w:rPr>
          <w:rFonts w:eastAsia="宋体"/>
          <w:lang w:eastAsia="zh-CN"/>
        </w:rPr>
        <w:t xml:space="preserve"> power back-off is needed. Additionally, when ATG UE indicate the maximum output power under the specific conditions (</w:t>
      </w:r>
      <w:r>
        <w:rPr>
          <w:rFonts w:hint="eastAsia" w:eastAsia="宋体"/>
          <w:lang w:val="en-US" w:eastAsia="zh-CN"/>
        </w:rPr>
        <w:t xml:space="preserve">the supported </w:t>
      </w:r>
      <w:r>
        <w:rPr>
          <w:rFonts w:eastAsia="宋体"/>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pPr>
        <w:pStyle w:val="5"/>
        <w:numPr>
          <w:ilvl w:val="-1"/>
          <w:numId w:val="0"/>
        </w:numPr>
        <w:spacing w:after="0"/>
        <w:rPr>
          <w:lang w:eastAsia="zh-CN"/>
        </w:rPr>
      </w:pPr>
      <w:bookmarkStart w:id="964" w:name="_Toc9101"/>
      <w:bookmarkStart w:id="965" w:name="_Toc4954"/>
      <w:bookmarkStart w:id="966" w:name="_Toc21377"/>
      <w:bookmarkStart w:id="967" w:name="_Toc19826"/>
      <w:bookmarkStart w:id="968" w:name="_Toc133498153"/>
      <w:bookmarkStart w:id="969" w:name="_Toc8570"/>
      <w:bookmarkStart w:id="970" w:name="_Toc14034"/>
      <w:bookmarkStart w:id="971" w:name="_Toc24378"/>
      <w:bookmarkStart w:id="972" w:name="_Toc32172"/>
      <w:bookmarkStart w:id="973" w:name="_Toc23396"/>
      <w:r>
        <w:rPr>
          <w:lang w:eastAsia="zh-CN"/>
        </w:rPr>
        <w:t>7.1.2.4 Configured transmitted power</w:t>
      </w:r>
      <w:bookmarkEnd w:id="964"/>
      <w:bookmarkEnd w:id="965"/>
      <w:bookmarkEnd w:id="966"/>
      <w:bookmarkEnd w:id="967"/>
      <w:bookmarkEnd w:id="968"/>
      <w:bookmarkEnd w:id="969"/>
      <w:bookmarkEnd w:id="970"/>
      <w:bookmarkEnd w:id="971"/>
      <w:bookmarkEnd w:id="972"/>
      <w:bookmarkEnd w:id="973"/>
    </w:p>
    <w:p>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pPr>
        <w:pStyle w:val="58"/>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pPr>
        <w:pStyle w:val="58"/>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974" w:name="_Hlk142147439"/>
      <w:r>
        <w:rPr>
          <w:i/>
          <w:lang w:eastAsia="zh-CN"/>
        </w:rPr>
        <w:t>P</w:t>
      </w:r>
      <w:r>
        <w:rPr>
          <w:i/>
          <w:vertAlign w:val="subscript"/>
          <w:lang w:eastAsia="zh-CN"/>
        </w:rPr>
        <w:t>MaxOutputPower</w:t>
      </w:r>
      <w:bookmarkEnd w:id="974"/>
      <w:r>
        <w:rPr>
          <w:lang w:eastAsia="zh-CN"/>
        </w:rPr>
        <w:t>}</w:t>
      </w:r>
    </w:p>
    <w:p>
      <w:pPr>
        <w:pStyle w:val="58"/>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pPr>
        <w:rPr>
          <w:lang w:eastAsia="zh-CN"/>
        </w:rPr>
      </w:pPr>
      <w:r>
        <w:rPr>
          <w:lang w:eastAsia="zh-CN"/>
        </w:rPr>
        <w:t>where</w:t>
      </w:r>
    </w:p>
    <w:p>
      <w:pPr>
        <w:pStyle w:val="74"/>
        <w:rPr>
          <w:lang w:eastAsia="zh-CN"/>
        </w:rPr>
      </w:pPr>
      <w:r>
        <w:rPr>
          <w:lang w:eastAsia="zh-CN"/>
        </w:rPr>
        <w:tab/>
      </w:r>
      <w:r>
        <w:rPr>
          <w:lang w:eastAsia="zh-CN"/>
        </w:rPr>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pPr>
        <w:pStyle w:val="74"/>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pPr>
        <w:pStyle w:val="5"/>
        <w:spacing w:after="0"/>
        <w:ind w:left="0" w:firstLine="0"/>
        <w:rPr>
          <w:lang w:eastAsia="zh-CN"/>
        </w:rPr>
      </w:pPr>
      <w:bookmarkStart w:id="975" w:name="_Toc7147"/>
      <w:bookmarkStart w:id="976" w:name="_Toc20481"/>
      <w:bookmarkStart w:id="977" w:name="_Toc3162"/>
      <w:bookmarkStart w:id="978" w:name="_Toc133498154"/>
      <w:bookmarkStart w:id="979" w:name="_Toc30038"/>
      <w:bookmarkStart w:id="980" w:name="_Toc12756"/>
      <w:bookmarkStart w:id="981" w:name="_Toc16990"/>
      <w:bookmarkStart w:id="982" w:name="_Toc26248"/>
      <w:bookmarkStart w:id="983" w:name="_Toc2539"/>
      <w:bookmarkStart w:id="984" w:name="_Toc28069"/>
      <w:r>
        <w:rPr>
          <w:lang w:eastAsia="zh-CN"/>
        </w:rPr>
        <w:t>7.1.2.5 Minimum output power</w:t>
      </w:r>
      <w:bookmarkEnd w:id="975"/>
      <w:bookmarkEnd w:id="976"/>
      <w:bookmarkEnd w:id="977"/>
      <w:bookmarkEnd w:id="978"/>
      <w:bookmarkEnd w:id="979"/>
      <w:bookmarkEnd w:id="980"/>
      <w:bookmarkEnd w:id="981"/>
      <w:bookmarkEnd w:id="982"/>
      <w:bookmarkEnd w:id="983"/>
      <w:bookmarkEnd w:id="984"/>
    </w:p>
    <w:p>
      <w:pPr>
        <w:rPr>
          <w:rFonts w:eastAsia="宋体"/>
          <w:lang w:eastAsia="zh-CN"/>
        </w:rPr>
      </w:pPr>
      <w:r>
        <w:rPr>
          <w:rFonts w:eastAsia="宋体"/>
          <w:lang w:eastAsia="zh-CN"/>
        </w:rPr>
        <w:t>The calculation and results for minimum output power are listed below.</w:t>
      </w:r>
    </w:p>
    <w:p>
      <w:pPr>
        <w:pStyle w:val="28"/>
        <w:keepNext/>
        <w:jc w:val="center"/>
        <w:rPr>
          <w:rFonts w:ascii="Arial" w:hAnsi="Arial" w:cs="Arial"/>
        </w:rPr>
      </w:pPr>
      <w:r>
        <w:rPr>
          <w:rFonts w:ascii="Arial" w:hAnsi="Arial" w:cs="Arial"/>
        </w:rPr>
        <w:t>Table 7.1.2.5-1 the calculation for minimum output power requirements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9"/>
        <w:gridCol w:w="2266"/>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Parameters</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Omni-directional antenna</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phased array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center frequency GHz</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2</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Distance meter</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3000</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Pathloss dB</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108.063</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114.0836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ATG BS antenna gain</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21</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ATG UE antenna gain</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0</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Thermal noise power density dBm/MHz</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-114</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ATG BS Noise figure dB</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5</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Minimum output power dBm/MHz</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-21.937</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-26.9164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rPr>
                <w:rFonts w:eastAsia="宋体"/>
                <w:lang w:val="en-US" w:eastAsia="zh-CN"/>
              </w:rPr>
              <w:t>Minimum output power dBm/5MHz</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-14.9473</w:t>
            </w:r>
          </w:p>
        </w:tc>
        <w:tc>
          <w:tcPr>
            <w:tcW w:w="0" w:type="auto"/>
            <w:shd w:val="clear" w:color="auto" w:fill="auto"/>
            <w:noWrap/>
            <w:vAlign w:val="center"/>
          </w:tcPr>
          <w:p>
            <w:pPr>
              <w:overflowPunct/>
              <w:autoSpaceDE/>
              <w:autoSpaceDN/>
              <w:adjustRightInd/>
              <w:spacing w:after="0"/>
              <w:jc w:val="center"/>
              <w:textAlignment w:val="auto"/>
              <w:rPr>
                <w:rFonts w:eastAsia="宋体"/>
                <w:lang w:val="en-US" w:eastAsia="zh-CN"/>
              </w:rPr>
            </w:pPr>
            <w:r>
              <w:t>-19.92669996</w:t>
            </w:r>
          </w:p>
        </w:tc>
      </w:tr>
    </w:tbl>
    <w:p>
      <w:pPr>
        <w:rPr>
          <w:rFonts w:eastAsia="宋体"/>
          <w:lang w:eastAsia="zh-CN"/>
        </w:rPr>
      </w:pPr>
      <w:r>
        <w:rPr>
          <w:rFonts w:eastAsia="宋体"/>
          <w:lang w:eastAsia="zh-CN"/>
        </w:rPr>
        <w:t>The minimum output power requirements are specified below.</w:t>
      </w:r>
    </w:p>
    <w:p>
      <w:pPr>
        <w:pStyle w:val="28"/>
        <w:keepNext/>
        <w:jc w:val="center"/>
        <w:rPr>
          <w:rFonts w:ascii="Arial" w:hAnsi="Arial" w:cs="Arial"/>
        </w:rPr>
      </w:pPr>
      <w:r>
        <w:rPr>
          <w:rFonts w:ascii="Arial" w:hAnsi="Arial" w:cs="Arial"/>
        </w:rPr>
        <w:t>Table 7.1.2.5-2 the calculation for minimum output power requirements</w:t>
      </w:r>
    </w:p>
    <w:tbl>
      <w:tblPr>
        <w:tblStyle w:val="49"/>
        <w:tblW w:w="0" w:type="auto"/>
        <w:jc w:val="center"/>
        <w:tblLayout w:type="fixed"/>
        <w:tblCellMar>
          <w:top w:w="0" w:type="dxa"/>
          <w:left w:w="108" w:type="dxa"/>
          <w:bottom w:w="0" w:type="dxa"/>
          <w:right w:w="108" w:type="dxa"/>
        </w:tblCellMar>
      </w:tblPr>
      <w:tblGrid>
        <w:gridCol w:w="2188"/>
        <w:gridCol w:w="863"/>
        <w:gridCol w:w="1134"/>
        <w:gridCol w:w="2122"/>
        <w:gridCol w:w="2346"/>
      </w:tblGrid>
      <w:tr>
        <w:tblPrEx>
          <w:tblCellMar>
            <w:top w:w="0" w:type="dxa"/>
            <w:left w:w="108" w:type="dxa"/>
            <w:bottom w:w="0" w:type="dxa"/>
            <w:right w:w="108" w:type="dxa"/>
          </w:tblCellMar>
        </w:tblPrEx>
        <w:trPr>
          <w:trHeight w:val="492" w:hRule="atLeast"/>
          <w:jc w:val="center"/>
        </w:trPr>
        <w:tc>
          <w:tcPr>
            <w:tcW w:w="2188"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7"/>
            </w:pPr>
            <w:r>
              <w:t>Channel bandwidth</w:t>
            </w:r>
          </w:p>
        </w:tc>
        <w:tc>
          <w:tcPr>
            <w:tcW w:w="863" w:type="dxa"/>
            <w:tcBorders>
              <w:top w:val="single" w:color="auto" w:sz="8" w:space="0"/>
              <w:left w:val="nil"/>
              <w:bottom w:val="single" w:color="auto" w:sz="8" w:space="0"/>
              <w:right w:val="single" w:color="auto" w:sz="8" w:space="0"/>
            </w:tcBorders>
            <w:shd w:val="clear" w:color="auto" w:fill="auto"/>
            <w:vAlign w:val="center"/>
          </w:tcPr>
          <w:p>
            <w:pPr>
              <w:pStyle w:val="67"/>
            </w:pPr>
            <w:r>
              <w:t>(MHz)</w:t>
            </w:r>
          </w:p>
        </w:tc>
        <w:tc>
          <w:tcPr>
            <w:tcW w:w="1134" w:type="dxa"/>
            <w:tcBorders>
              <w:top w:val="single" w:color="auto" w:sz="8" w:space="0"/>
              <w:left w:val="nil"/>
              <w:bottom w:val="single" w:color="auto" w:sz="8" w:space="0"/>
              <w:right w:val="single" w:color="auto" w:sz="8" w:space="0"/>
            </w:tcBorders>
            <w:shd w:val="clear" w:color="auto" w:fill="auto"/>
            <w:noWrap/>
            <w:vAlign w:val="center"/>
          </w:tcPr>
          <w:p>
            <w:pPr>
              <w:pStyle w:val="67"/>
            </w:pPr>
            <w:r>
              <w:t>5,10,15,20</w:t>
            </w:r>
          </w:p>
        </w:tc>
        <w:tc>
          <w:tcPr>
            <w:tcW w:w="2122" w:type="dxa"/>
            <w:tcBorders>
              <w:top w:val="single" w:color="auto" w:sz="8" w:space="0"/>
              <w:left w:val="nil"/>
              <w:bottom w:val="single" w:color="auto" w:sz="8" w:space="0"/>
              <w:right w:val="single" w:color="auto" w:sz="8" w:space="0"/>
            </w:tcBorders>
            <w:shd w:val="clear" w:color="auto" w:fill="auto"/>
            <w:noWrap/>
            <w:vAlign w:val="center"/>
          </w:tcPr>
          <w:p>
            <w:pPr>
              <w:pStyle w:val="67"/>
            </w:pPr>
            <w:r>
              <w:t>25,30,35,40,45,50</w:t>
            </w:r>
          </w:p>
        </w:tc>
        <w:tc>
          <w:tcPr>
            <w:tcW w:w="2346" w:type="dxa"/>
            <w:tcBorders>
              <w:top w:val="single" w:color="auto" w:sz="8" w:space="0"/>
              <w:left w:val="nil"/>
              <w:bottom w:val="single" w:color="auto" w:sz="8" w:space="0"/>
              <w:right w:val="single" w:color="auto" w:sz="8" w:space="0"/>
            </w:tcBorders>
            <w:shd w:val="clear" w:color="auto" w:fill="auto"/>
            <w:noWrap/>
            <w:vAlign w:val="center"/>
          </w:tcPr>
          <w:p>
            <w:pPr>
              <w:pStyle w:val="67"/>
            </w:pPr>
            <w:r>
              <w:t>60,70,80,90,100</w:t>
            </w:r>
          </w:p>
        </w:tc>
      </w:tr>
      <w:tr>
        <w:tblPrEx>
          <w:tblCellMar>
            <w:top w:w="0" w:type="dxa"/>
            <w:left w:w="108" w:type="dxa"/>
            <w:bottom w:w="0" w:type="dxa"/>
            <w:right w:w="108" w:type="dxa"/>
          </w:tblCellMar>
        </w:tblPrEx>
        <w:trPr>
          <w:trHeight w:val="300" w:hRule="atLeast"/>
          <w:jc w:val="center"/>
        </w:trPr>
        <w:tc>
          <w:tcPr>
            <w:tcW w:w="2188" w:type="dxa"/>
            <w:tcBorders>
              <w:top w:val="nil"/>
              <w:left w:val="single" w:color="auto" w:sz="8" w:space="0"/>
              <w:bottom w:val="single" w:color="auto" w:sz="8" w:space="0"/>
              <w:right w:val="single" w:color="auto" w:sz="8" w:space="0"/>
            </w:tcBorders>
            <w:shd w:val="clear" w:color="auto" w:fill="auto"/>
            <w:vAlign w:val="center"/>
          </w:tcPr>
          <w:p>
            <w:pPr>
              <w:pStyle w:val="66"/>
            </w:pPr>
            <w:r>
              <w:t>REF_SCS</w:t>
            </w:r>
          </w:p>
        </w:tc>
        <w:tc>
          <w:tcPr>
            <w:tcW w:w="863" w:type="dxa"/>
            <w:tcBorders>
              <w:top w:val="nil"/>
              <w:left w:val="nil"/>
              <w:bottom w:val="single" w:color="auto" w:sz="8" w:space="0"/>
              <w:right w:val="single" w:color="auto" w:sz="8" w:space="0"/>
            </w:tcBorders>
            <w:shd w:val="clear" w:color="auto" w:fill="auto"/>
            <w:vAlign w:val="center"/>
          </w:tcPr>
          <w:p>
            <w:pPr>
              <w:pStyle w:val="68"/>
            </w:pPr>
            <w:r>
              <w:t>(kHz)</w:t>
            </w:r>
          </w:p>
        </w:tc>
        <w:tc>
          <w:tcPr>
            <w:tcW w:w="3256" w:type="dxa"/>
            <w:gridSpan w:val="2"/>
            <w:tcBorders>
              <w:top w:val="nil"/>
              <w:left w:val="nil"/>
              <w:bottom w:val="single" w:color="auto" w:sz="8" w:space="0"/>
              <w:right w:val="single" w:color="auto" w:sz="8" w:space="0"/>
            </w:tcBorders>
            <w:shd w:val="clear" w:color="auto" w:fill="auto"/>
            <w:noWrap/>
            <w:vAlign w:val="center"/>
          </w:tcPr>
          <w:p>
            <w:pPr>
              <w:pStyle w:val="68"/>
              <w:rPr>
                <w:rFonts w:eastAsia="宋体"/>
                <w:lang w:val="en-US" w:eastAsia="zh-CN"/>
              </w:rPr>
            </w:pPr>
            <w:r>
              <w:rPr>
                <w:rFonts w:hint="eastAsia" w:eastAsia="宋体"/>
                <w:lang w:val="en-US" w:eastAsia="zh-CN"/>
              </w:rPr>
              <w:t>15</w:t>
            </w:r>
          </w:p>
        </w:tc>
        <w:tc>
          <w:tcPr>
            <w:tcW w:w="2346" w:type="dxa"/>
            <w:tcBorders>
              <w:top w:val="nil"/>
              <w:left w:val="nil"/>
              <w:bottom w:val="single" w:color="auto" w:sz="8" w:space="0"/>
              <w:right w:val="single" w:color="auto" w:sz="8" w:space="0"/>
            </w:tcBorders>
            <w:shd w:val="clear" w:color="auto" w:fill="auto"/>
            <w:noWrap/>
            <w:vAlign w:val="center"/>
          </w:tcPr>
          <w:p>
            <w:pPr>
              <w:pStyle w:val="68"/>
              <w:rPr>
                <w:rFonts w:eastAsia="宋体"/>
                <w:lang w:val="en-US" w:eastAsia="zh-CN"/>
              </w:rPr>
            </w:pPr>
            <w:r>
              <w:rPr>
                <w:rFonts w:hint="eastAsia" w:eastAsia="宋体"/>
                <w:lang w:val="en-US" w:eastAsia="zh-CN"/>
              </w:rPr>
              <w:t>30</w:t>
            </w:r>
          </w:p>
        </w:tc>
      </w:tr>
      <w:tr>
        <w:tblPrEx>
          <w:tblCellMar>
            <w:top w:w="0" w:type="dxa"/>
            <w:left w:w="108" w:type="dxa"/>
            <w:bottom w:w="0" w:type="dxa"/>
            <w:right w:w="108" w:type="dxa"/>
          </w:tblCellMar>
        </w:tblPrEx>
        <w:trPr>
          <w:trHeight w:val="492" w:hRule="atLeast"/>
          <w:jc w:val="center"/>
        </w:trPr>
        <w:tc>
          <w:tcPr>
            <w:tcW w:w="2188" w:type="dxa"/>
            <w:tcBorders>
              <w:top w:val="nil"/>
              <w:left w:val="single" w:color="auto" w:sz="8" w:space="0"/>
              <w:bottom w:val="single" w:color="auto" w:sz="8" w:space="0"/>
              <w:right w:val="single" w:color="auto" w:sz="8" w:space="0"/>
            </w:tcBorders>
            <w:shd w:val="clear" w:color="auto" w:fill="auto"/>
            <w:vAlign w:val="center"/>
          </w:tcPr>
          <w:p>
            <w:pPr>
              <w:pStyle w:val="66"/>
            </w:pPr>
            <w:r>
              <w:t>Minimum output power</w:t>
            </w:r>
          </w:p>
        </w:tc>
        <w:tc>
          <w:tcPr>
            <w:tcW w:w="863" w:type="dxa"/>
            <w:tcBorders>
              <w:top w:val="nil"/>
              <w:left w:val="nil"/>
              <w:bottom w:val="single" w:color="auto" w:sz="8" w:space="0"/>
              <w:right w:val="single" w:color="auto" w:sz="8" w:space="0"/>
            </w:tcBorders>
            <w:shd w:val="clear" w:color="auto" w:fill="auto"/>
            <w:vAlign w:val="center"/>
          </w:tcPr>
          <w:p>
            <w:pPr>
              <w:pStyle w:val="68"/>
            </w:pPr>
            <w:r>
              <w:t>(dBm)</w:t>
            </w:r>
          </w:p>
        </w:tc>
        <w:tc>
          <w:tcPr>
            <w:tcW w:w="1134" w:type="dxa"/>
            <w:tcBorders>
              <w:top w:val="single" w:color="auto" w:sz="8" w:space="0"/>
              <w:left w:val="nil"/>
              <w:bottom w:val="single" w:color="auto" w:sz="8" w:space="0"/>
              <w:right w:val="single" w:color="000000" w:sz="8" w:space="0"/>
            </w:tcBorders>
            <w:shd w:val="clear" w:color="auto" w:fill="auto"/>
            <w:noWrap/>
            <w:vAlign w:val="center"/>
          </w:tcPr>
          <w:p>
            <w:pPr>
              <w:pStyle w:val="68"/>
            </w:pPr>
            <w:r>
              <w:t>X</w:t>
            </w:r>
          </w:p>
        </w:tc>
        <w:tc>
          <w:tcPr>
            <w:tcW w:w="2122" w:type="dxa"/>
            <w:tcBorders>
              <w:top w:val="single" w:color="auto" w:sz="8" w:space="0"/>
              <w:left w:val="nil"/>
              <w:bottom w:val="single" w:color="auto" w:sz="8" w:space="0"/>
              <w:right w:val="single" w:color="000000" w:sz="8" w:space="0"/>
            </w:tcBorders>
            <w:shd w:val="clear" w:color="auto" w:fill="auto"/>
            <w:noWrap/>
            <w:vAlign w:val="center"/>
          </w:tcPr>
          <w:p>
            <w:pPr>
              <w:pStyle w:val="68"/>
              <w:rPr>
                <w:rFonts w:eastAsia="宋体"/>
                <w:lang w:val="en-US" w:eastAsia="zh-CN"/>
              </w:rPr>
            </w:pPr>
            <w:r>
              <w:rPr>
                <w:rFonts w:eastAsia="宋体"/>
                <w:lang w:val="en-US" w:eastAsia="zh-CN"/>
              </w:rPr>
              <w:t>X</w:t>
            </w:r>
            <w:r>
              <w:rPr>
                <w:rFonts w:hint="eastAsia" w:eastAsia="宋体"/>
                <w:lang w:val="en-US" w:eastAsia="zh-CN"/>
              </w:rPr>
              <w:t>+</w:t>
            </w:r>
            <w:r>
              <w:t>10log</w:t>
            </w:r>
            <w:r>
              <w:rPr>
                <w:vertAlign w:val="subscript"/>
              </w:rPr>
              <w:t>10</w:t>
            </w:r>
            <w:r>
              <w:rPr>
                <w:rFonts w:hint="eastAsia" w:eastAsia="宋体"/>
                <w:vertAlign w:val="subscript"/>
                <w:lang w:val="en-US" w:eastAsia="zh-CN"/>
              </w:rPr>
              <w:t xml:space="preserve"> </w:t>
            </w:r>
            <w:r>
              <w:t>(BW</w:t>
            </w:r>
            <w:r>
              <w:rPr>
                <w:vertAlign w:val="subscript"/>
              </w:rPr>
              <w:t>Channel</w:t>
            </w:r>
            <w:r>
              <w:t xml:space="preserve"> /20)</w:t>
            </w:r>
          </w:p>
        </w:tc>
        <w:tc>
          <w:tcPr>
            <w:tcW w:w="2346" w:type="dxa"/>
            <w:tcBorders>
              <w:top w:val="single" w:color="auto" w:sz="8" w:space="0"/>
              <w:left w:val="nil"/>
              <w:bottom w:val="single" w:color="auto" w:sz="8" w:space="0"/>
              <w:right w:val="single" w:color="000000" w:sz="8" w:space="0"/>
            </w:tcBorders>
            <w:shd w:val="clear" w:color="auto" w:fill="auto"/>
            <w:noWrap/>
            <w:vAlign w:val="center"/>
          </w:tcPr>
          <w:p>
            <w:pPr>
              <w:pStyle w:val="68"/>
              <w:rPr>
                <w:rFonts w:eastAsia="宋体"/>
                <w:lang w:val="en-US" w:eastAsia="zh-CN"/>
              </w:rPr>
            </w:pPr>
            <w:r>
              <w:rPr>
                <w:rFonts w:eastAsia="宋体"/>
                <w:lang w:val="en-US" w:eastAsia="zh-CN"/>
              </w:rPr>
              <w:t>X</w:t>
            </w:r>
            <w:r>
              <w:rPr>
                <w:rFonts w:hint="eastAsia" w:eastAsia="宋体"/>
                <w:lang w:val="en-US" w:eastAsia="zh-CN"/>
              </w:rPr>
              <w:t>+</w:t>
            </w:r>
            <w:r>
              <w:t>10log</w:t>
            </w:r>
            <w:r>
              <w:rPr>
                <w:vertAlign w:val="subscript"/>
              </w:rPr>
              <w:t>10</w:t>
            </w:r>
            <w:r>
              <w:rPr>
                <w:rFonts w:hint="eastAsia" w:eastAsia="宋体"/>
                <w:vertAlign w:val="subscript"/>
                <w:lang w:val="en-US" w:eastAsia="zh-CN"/>
              </w:rPr>
              <w:t xml:space="preserve"> </w:t>
            </w:r>
            <w:r>
              <w:t>(BW</w:t>
            </w:r>
            <w:r>
              <w:rPr>
                <w:vertAlign w:val="subscript"/>
              </w:rPr>
              <w:t>Channel</w:t>
            </w:r>
            <w:r>
              <w:t xml:space="preserve"> /20)</w:t>
            </w:r>
          </w:p>
        </w:tc>
      </w:tr>
      <w:tr>
        <w:tblPrEx>
          <w:tblCellMar>
            <w:top w:w="0" w:type="dxa"/>
            <w:left w:w="108" w:type="dxa"/>
            <w:bottom w:w="0" w:type="dxa"/>
            <w:right w:w="108" w:type="dxa"/>
          </w:tblCellMar>
        </w:tblPrEx>
        <w:trPr>
          <w:trHeight w:val="492" w:hRule="atLeast"/>
          <w:jc w:val="center"/>
        </w:trPr>
        <w:tc>
          <w:tcPr>
            <w:tcW w:w="2188"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6"/>
            </w:pPr>
            <w:r>
              <w:t>Measurement bandwidth</w:t>
            </w:r>
          </w:p>
        </w:tc>
        <w:tc>
          <w:tcPr>
            <w:tcW w:w="863" w:type="dxa"/>
            <w:tcBorders>
              <w:top w:val="single" w:color="auto" w:sz="8" w:space="0"/>
              <w:left w:val="single" w:color="auto" w:sz="8" w:space="0"/>
              <w:bottom w:val="single" w:color="auto" w:sz="8" w:space="0"/>
              <w:right w:val="single" w:color="auto" w:sz="8" w:space="0"/>
            </w:tcBorders>
            <w:shd w:val="clear" w:color="auto" w:fill="auto"/>
            <w:vAlign w:val="center"/>
          </w:tcPr>
          <w:p>
            <w:pPr>
              <w:pStyle w:val="68"/>
            </w:pPr>
            <w:r>
              <w:t>(MHz)</w:t>
            </w:r>
          </w:p>
        </w:tc>
        <w:tc>
          <w:tcPr>
            <w:tcW w:w="5602" w:type="dxa"/>
            <w:gridSpan w:val="3"/>
            <w:tcBorders>
              <w:top w:val="single" w:color="auto" w:sz="8" w:space="0"/>
              <w:left w:val="nil"/>
              <w:bottom w:val="single" w:color="auto" w:sz="8" w:space="0"/>
              <w:right w:val="single" w:color="000000" w:sz="8" w:space="0"/>
            </w:tcBorders>
            <w:shd w:val="clear" w:color="auto" w:fill="auto"/>
            <w:noWrap/>
            <w:vAlign w:val="center"/>
          </w:tcPr>
          <w:p>
            <w:pPr>
              <w:pStyle w:val="68"/>
            </w:pPr>
            <w:r>
              <w:t>MBW=REF_SCS*(12*N</w:t>
            </w:r>
            <w:r>
              <w:rPr>
                <w:vertAlign w:val="subscript"/>
              </w:rPr>
              <w:t>RB</w:t>
            </w:r>
            <w:r>
              <w:t>+1)/1000</w:t>
            </w:r>
          </w:p>
        </w:tc>
      </w:tr>
      <w:tr>
        <w:tblPrEx>
          <w:tblCellMar>
            <w:top w:w="0" w:type="dxa"/>
            <w:left w:w="108" w:type="dxa"/>
            <w:bottom w:w="0" w:type="dxa"/>
            <w:right w:w="108" w:type="dxa"/>
          </w:tblCellMar>
        </w:tblPrEx>
        <w:trPr>
          <w:trHeight w:val="492" w:hRule="atLeast"/>
          <w:jc w:val="center"/>
        </w:trPr>
        <w:tc>
          <w:tcPr>
            <w:tcW w:w="8653" w:type="dxa"/>
            <w:gridSpan w:val="5"/>
            <w:tcBorders>
              <w:top w:val="nil"/>
              <w:left w:val="single" w:color="auto" w:sz="8" w:space="0"/>
              <w:bottom w:val="single" w:color="auto" w:sz="8" w:space="0"/>
              <w:right w:val="single" w:color="000000" w:sz="8" w:space="0"/>
            </w:tcBorders>
            <w:shd w:val="clear" w:color="auto" w:fill="auto"/>
            <w:vAlign w:val="center"/>
          </w:tcPr>
          <w:p>
            <w:pPr>
              <w:pStyle w:val="81"/>
              <w:rPr>
                <w:rFonts w:eastAsia="宋体"/>
                <w:lang w:val="en-US"/>
              </w:rPr>
            </w:pPr>
            <w:r>
              <w:rPr>
                <w:rFonts w:hint="eastAsia" w:eastAsia="宋体"/>
                <w:lang w:val="en-US" w:eastAsia="zh-CN"/>
              </w:rPr>
              <w:t>NOTE</w:t>
            </w:r>
            <w:r>
              <w:rPr>
                <w:rFonts w:eastAsia="宋体"/>
                <w:lang w:val="en-US" w:eastAsia="zh-CN"/>
              </w:rPr>
              <w:t xml:space="preserve"> 1</w:t>
            </w:r>
            <w:r>
              <w:rPr>
                <w:rFonts w:hint="eastAsia" w:eastAsia="宋体"/>
                <w:lang w:val="en-US" w:eastAsia="zh-CN"/>
              </w:rPr>
              <w:t xml:space="preserve">: The minimum output power </w:t>
            </w:r>
            <w:r>
              <w:rPr>
                <w:rFonts w:eastAsia="宋体"/>
                <w:lang w:val="en-US"/>
              </w:rPr>
              <w:t>value is rounded to the nearest number down to one decimal point.</w:t>
            </w:r>
          </w:p>
          <w:p>
            <w:pPr>
              <w:pStyle w:val="81"/>
              <w:rPr>
                <w:rFonts w:eastAsia="宋体"/>
                <w:lang w:val="en-US" w:eastAsia="zh-CN"/>
              </w:rPr>
            </w:pPr>
            <w:r>
              <w:rPr>
                <w:rFonts w:eastAsia="宋体"/>
                <w:lang w:val="en-US"/>
              </w:rPr>
              <w:t>NOTE 2: X = -15 for the ATG UE with omni-direction</w:t>
            </w:r>
            <w:r>
              <w:rPr>
                <w:rFonts w:hint="eastAsia" w:eastAsia="宋体"/>
                <w:lang w:val="en-US" w:eastAsia="zh-CN"/>
              </w:rPr>
              <w:t>al</w:t>
            </w:r>
            <w:r>
              <w:rPr>
                <w:rFonts w:eastAsia="宋体"/>
                <w:lang w:val="en-US"/>
              </w:rPr>
              <w:t xml:space="preserve"> antenna. X = -19 for the ATG UE with phased array antenna.</w:t>
            </w:r>
          </w:p>
        </w:tc>
      </w:tr>
    </w:tbl>
    <w:p>
      <w:pPr>
        <w:rPr>
          <w:rFonts w:eastAsia="宋体"/>
          <w:lang w:eastAsia="zh-CN"/>
        </w:rPr>
      </w:pPr>
    </w:p>
    <w:p>
      <w:pPr>
        <w:pStyle w:val="5"/>
        <w:overflowPunct/>
        <w:autoSpaceDE/>
        <w:autoSpaceDN/>
        <w:adjustRightInd/>
        <w:spacing w:before="120" w:beforeAutospacing="1" w:after="312" w:afterLines="100"/>
        <w:textAlignment w:val="auto"/>
        <w:outlineLvl w:val="3"/>
        <w:rPr>
          <w:lang w:eastAsia="zh-CN"/>
        </w:rPr>
      </w:pPr>
      <w:bookmarkStart w:id="985" w:name="_Toc133498155"/>
      <w:bookmarkStart w:id="986" w:name="_Toc26331"/>
      <w:bookmarkStart w:id="987" w:name="_Toc27952"/>
      <w:bookmarkStart w:id="988" w:name="_Toc17225"/>
      <w:bookmarkStart w:id="989" w:name="_Toc26072"/>
      <w:bookmarkStart w:id="990" w:name="_Toc27444"/>
      <w:bookmarkStart w:id="991" w:name="_Toc30653"/>
      <w:bookmarkStart w:id="992" w:name="_Toc29062"/>
      <w:bookmarkStart w:id="993" w:name="_Toc11721"/>
      <w:r>
        <w:rPr>
          <w:lang w:eastAsia="zh-CN"/>
        </w:rPr>
        <w:t>7.1.2.6 Transmit OFF power</w:t>
      </w:r>
      <w:bookmarkEnd w:id="985"/>
      <w:bookmarkEnd w:id="986"/>
      <w:bookmarkEnd w:id="987"/>
      <w:bookmarkEnd w:id="988"/>
      <w:bookmarkEnd w:id="989"/>
      <w:bookmarkEnd w:id="990"/>
      <w:bookmarkEnd w:id="991"/>
      <w:bookmarkEnd w:id="992"/>
      <w:bookmarkEnd w:id="993"/>
    </w:p>
    <w:p>
      <w:pPr>
        <w:rPr>
          <w:rFonts w:eastAsia="宋体"/>
          <w:lang w:eastAsia="zh-CN"/>
        </w:rPr>
      </w:pPr>
      <w:r>
        <w:rPr>
          <w:lang w:eastAsia="en-US"/>
        </w:rPr>
        <w:t>The current requirements for Transmit OFF power specified in clause 6.3.2 of TS 38.101-1 are applicable to ATG UE, i.e. -50dBm.</w:t>
      </w:r>
    </w:p>
    <w:p>
      <w:pPr>
        <w:pStyle w:val="5"/>
        <w:overflowPunct/>
        <w:autoSpaceDE/>
        <w:autoSpaceDN/>
        <w:adjustRightInd/>
        <w:spacing w:before="120" w:beforeAutospacing="1" w:after="312" w:afterLines="100"/>
        <w:textAlignment w:val="auto"/>
        <w:outlineLvl w:val="3"/>
        <w:rPr>
          <w:lang w:eastAsia="zh-CN"/>
        </w:rPr>
      </w:pPr>
      <w:bookmarkStart w:id="994" w:name="_Toc2103"/>
      <w:bookmarkStart w:id="995" w:name="_Toc133498156"/>
      <w:bookmarkStart w:id="996" w:name="_Toc20009"/>
      <w:bookmarkStart w:id="997" w:name="_Toc17540"/>
      <w:bookmarkStart w:id="998" w:name="_Toc18564"/>
      <w:bookmarkStart w:id="999" w:name="_Toc13010"/>
      <w:bookmarkStart w:id="1000" w:name="_Toc5427"/>
      <w:bookmarkStart w:id="1001" w:name="_Toc23452"/>
      <w:bookmarkStart w:id="1002" w:name="_Toc5719"/>
      <w:r>
        <w:rPr>
          <w:lang w:eastAsia="zh-CN"/>
        </w:rPr>
        <w:t>7.1.2.7 Transmit ON/OFF time mask</w:t>
      </w:r>
      <w:bookmarkEnd w:id="994"/>
      <w:bookmarkEnd w:id="995"/>
      <w:bookmarkEnd w:id="996"/>
      <w:bookmarkEnd w:id="997"/>
      <w:bookmarkEnd w:id="998"/>
      <w:bookmarkEnd w:id="999"/>
      <w:bookmarkEnd w:id="1000"/>
      <w:bookmarkEnd w:id="1001"/>
      <w:bookmarkEnd w:id="1002"/>
    </w:p>
    <w:p>
      <w:pPr>
        <w:rPr>
          <w:rFonts w:eastAsia="宋体"/>
          <w:lang w:eastAsia="zh-CN"/>
        </w:rPr>
      </w:pPr>
      <w:r>
        <w:rPr>
          <w:lang w:eastAsia="en-US"/>
        </w:rPr>
        <w:t>The current requirements for Transmit ON/OFF time mask specified in clause 6.3.3 of TS 38.101-1 are applicable to ATG UE.</w:t>
      </w:r>
    </w:p>
    <w:p>
      <w:pPr>
        <w:pStyle w:val="5"/>
        <w:overflowPunct/>
        <w:autoSpaceDE/>
        <w:autoSpaceDN/>
        <w:adjustRightInd/>
        <w:spacing w:before="120" w:beforeAutospacing="1" w:after="312" w:afterLines="100"/>
        <w:textAlignment w:val="auto"/>
        <w:outlineLvl w:val="3"/>
        <w:rPr>
          <w:lang w:eastAsia="zh-CN"/>
        </w:rPr>
      </w:pPr>
      <w:bookmarkStart w:id="1003" w:name="_Toc7698"/>
      <w:bookmarkStart w:id="1004" w:name="_Toc133498157"/>
      <w:bookmarkStart w:id="1005" w:name="_Toc4492"/>
      <w:bookmarkStart w:id="1006" w:name="_Toc6546"/>
      <w:bookmarkStart w:id="1007" w:name="_Toc23176"/>
      <w:bookmarkStart w:id="1008" w:name="_Toc24330"/>
      <w:bookmarkStart w:id="1009" w:name="_Toc13894"/>
      <w:bookmarkStart w:id="1010" w:name="_Toc10456"/>
      <w:bookmarkStart w:id="1011" w:name="_Toc30897"/>
      <w:r>
        <w:rPr>
          <w:lang w:eastAsia="zh-CN"/>
        </w:rPr>
        <w:t>7.1.2.8 Power control</w:t>
      </w:r>
      <w:bookmarkEnd w:id="1003"/>
      <w:bookmarkEnd w:id="1004"/>
      <w:bookmarkEnd w:id="1005"/>
      <w:bookmarkEnd w:id="1006"/>
      <w:bookmarkEnd w:id="1007"/>
      <w:bookmarkEnd w:id="1008"/>
      <w:bookmarkEnd w:id="1009"/>
      <w:bookmarkEnd w:id="1010"/>
      <w:bookmarkEnd w:id="1011"/>
    </w:p>
    <w:p>
      <w:pPr>
        <w:rPr>
          <w:rFonts w:eastAsia="宋体"/>
          <w:lang w:eastAsia="zh-CN"/>
        </w:rPr>
      </w:pPr>
      <w:r>
        <w:rPr>
          <w:lang w:eastAsia="en-US"/>
        </w:rPr>
        <w:t>The current requirements for power control specified in clause 6.3.4 of TS 38.101-1 are applicable to ATG UE.</w:t>
      </w:r>
    </w:p>
    <w:p>
      <w:pPr>
        <w:pStyle w:val="5"/>
        <w:spacing w:before="120" w:beforeAutospacing="1" w:after="312" w:afterLines="100"/>
        <w:outlineLvl w:val="3"/>
        <w:rPr>
          <w:lang w:eastAsia="zh-CN"/>
        </w:rPr>
      </w:pPr>
      <w:bookmarkStart w:id="1012" w:name="_Toc16558"/>
      <w:bookmarkStart w:id="1013" w:name="_Toc571"/>
      <w:bookmarkStart w:id="1014" w:name="_Toc4476"/>
      <w:bookmarkStart w:id="1015" w:name="_Toc5075"/>
      <w:bookmarkStart w:id="1016" w:name="_Toc878"/>
      <w:bookmarkStart w:id="1017" w:name="_Toc24730"/>
      <w:bookmarkStart w:id="1018" w:name="_Toc5144"/>
      <w:bookmarkStart w:id="1019" w:name="_Toc30915"/>
      <w:r>
        <w:rPr>
          <w:lang w:eastAsia="zh-CN"/>
        </w:rPr>
        <w:t>7.1.2.9 Transmit signal quality</w:t>
      </w:r>
      <w:bookmarkEnd w:id="1012"/>
      <w:bookmarkEnd w:id="1013"/>
      <w:bookmarkEnd w:id="1014"/>
      <w:bookmarkEnd w:id="1015"/>
      <w:bookmarkEnd w:id="1016"/>
      <w:bookmarkEnd w:id="1017"/>
      <w:bookmarkEnd w:id="1018"/>
      <w:bookmarkEnd w:id="1019"/>
    </w:p>
    <w:p>
      <w:r>
        <w:rPr>
          <w:rFonts w:eastAsia="宋体"/>
          <w:lang w:eastAsia="zh-CN"/>
        </w:rPr>
        <w:t xml:space="preserve">Transmit signal quality include </w:t>
      </w:r>
      <w:r>
        <w:t>frequency error and transmit modulation quality.</w:t>
      </w:r>
    </w:p>
    <w:p>
      <w:r>
        <w:t>For frequency error, frequency pre-compensation is assumed for ATG UE. The existing requirement defined for NTN UE in TS 38.101-5</w:t>
      </w:r>
      <w:r>
        <w:rPr>
          <w:rFonts w:hint="eastAsia" w:eastAsia="宋体"/>
          <w:lang w:val="en-US" w:eastAsia="zh-CN"/>
        </w:rPr>
        <w:t xml:space="preserve"> [7]</w:t>
      </w:r>
      <w:r>
        <w:t xml:space="preserve"> will be reused as baseline.</w:t>
      </w:r>
    </w:p>
    <w:p>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hint="eastAsia" w:eastAsia="宋体"/>
          <w:bCs/>
          <w:lang w:val="en-US" w:eastAsia="zh-CN"/>
        </w:rPr>
        <w:t>6</w:t>
      </w:r>
      <w:r>
        <w:rPr>
          <w:bCs/>
          <w:lang w:eastAsia="en-US"/>
        </w:rPr>
        <w:t xml:space="preserve">], the SNR above 25dB can still be seen in the considered scenarios for both UL and DL. UL 256QAM is supported for ATG UE as optional feature.  </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pPr>
        <w:tabs>
          <w:tab w:val="left" w:pos="813"/>
        </w:tabs>
        <w:spacing w:after="160" w:line="259" w:lineRule="auto"/>
        <w:jc w:val="center"/>
        <w:rPr>
          <w:rFonts w:hint="default" w:ascii="Arial" w:hAnsi="Arial" w:eastAsia="宋体" w:cs="Arial"/>
          <w:b/>
          <w:bCs/>
          <w:szCs w:val="22"/>
          <w:lang w:val="en-US" w:eastAsia="zh-CN"/>
        </w:rPr>
      </w:pPr>
      <w:r>
        <w:rPr>
          <w:rFonts w:ascii="Arial" w:hAnsi="Arial" w:eastAsia="Calibri" w:cs="Arial"/>
          <w:b/>
          <w:bCs/>
          <w:szCs w:val="22"/>
          <w:lang w:eastAsia="ja-JP"/>
        </w:rPr>
        <w:t>Figure 7.1.2.9-1</w:t>
      </w:r>
      <w:r>
        <w:rPr>
          <w:rFonts w:hint="eastAsia" w:ascii="Arial" w:hAnsi="Arial" w:eastAsia="宋体" w:cs="Arial"/>
          <w:b/>
          <w:bCs/>
          <w:szCs w:val="22"/>
          <w:lang w:val="en-US" w:eastAsia="zh-CN"/>
        </w:rPr>
        <w:t>: received SNR for FDD 20MHz at 2GHz</w:t>
      </w:r>
    </w:p>
    <w:p>
      <w:pPr>
        <w:tabs>
          <w:tab w:val="left" w:pos="813"/>
        </w:tabs>
        <w:spacing w:after="160" w:line="259" w:lineRule="auto"/>
        <w:jc w:val="center"/>
        <w:rPr>
          <w:rFonts w:ascii="Arial" w:hAnsi="Arial" w:eastAsia="Calibri" w:cs="Arial"/>
          <w:szCs w:val="22"/>
          <w:lang w:eastAsia="ja-JP"/>
        </w:rPr>
      </w:pPr>
      <w:r>
        <w:rPr>
          <w:lang w:eastAsia="en-US"/>
        </w:rPr>
        <w:drawing>
          <wp:inline distT="0" distB="0" distL="0" distR="0">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pPr>
        <w:tabs>
          <w:tab w:val="left" w:pos="813"/>
        </w:tabs>
        <w:spacing w:after="160" w:line="259" w:lineRule="auto"/>
        <w:jc w:val="center"/>
        <w:rPr>
          <w:rFonts w:hint="default" w:ascii="Arial" w:hAnsi="Arial" w:eastAsia="宋体" w:cs="Arial"/>
          <w:b/>
          <w:bCs/>
          <w:szCs w:val="22"/>
          <w:lang w:val="en-US" w:eastAsia="zh-CN"/>
        </w:rPr>
      </w:pPr>
      <w:r>
        <w:rPr>
          <w:rFonts w:ascii="Arial" w:hAnsi="Arial" w:eastAsia="Calibri" w:cs="Arial"/>
          <w:b/>
          <w:bCs/>
          <w:szCs w:val="22"/>
          <w:lang w:eastAsia="ja-JP"/>
        </w:rPr>
        <w:t>Figure 7.1.2.9-</w:t>
      </w:r>
      <w:r>
        <w:rPr>
          <w:rFonts w:hint="eastAsia" w:ascii="Arial" w:hAnsi="Arial" w:eastAsia="宋体" w:cs="Arial"/>
          <w:b/>
          <w:bCs/>
          <w:szCs w:val="22"/>
          <w:lang w:val="en-US" w:eastAsia="zh-CN"/>
        </w:rPr>
        <w:t>2: received SNR for TDD 100MHz at 4GHz</w:t>
      </w:r>
    </w:p>
    <w:p>
      <w:r>
        <w:t>For transmit modulation quality, the following requirement for FR1 UE in 38.101-1</w:t>
      </w:r>
      <w:r>
        <w:rPr>
          <w:rFonts w:hint="eastAsia" w:eastAsia="宋体"/>
          <w:lang w:val="en-US" w:eastAsia="zh-CN"/>
        </w:rPr>
        <w:t xml:space="preserve"> [4]</w:t>
      </w:r>
      <w:r>
        <w:t xml:space="preserve"> will be reused for ATG UE. </w:t>
      </w:r>
    </w:p>
    <w:tbl>
      <w:tblPr>
        <w:tblStyle w:val="49"/>
        <w:tblW w:w="6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b/>
                <w:sz w:val="18"/>
              </w:rPr>
            </w:pPr>
            <w:r>
              <w:rPr>
                <w:rFonts w:ascii="Arial" w:hAnsi="Arial" w:eastAsia="MS Mincho"/>
                <w:b/>
                <w:sz w:val="18"/>
              </w:rPr>
              <w:br w:type="page"/>
            </w:r>
            <w:r>
              <w:rPr>
                <w:rFonts w:ascii="Arial" w:hAnsi="Arial" w:eastAsia="MS Mincho"/>
                <w:b/>
                <w:sz w:val="18"/>
              </w:rPr>
              <w:t>Parameter</w:t>
            </w:r>
          </w:p>
        </w:tc>
        <w:tc>
          <w:tcPr>
            <w:tcW w:w="1135" w:type="dxa"/>
          </w:tcPr>
          <w:p>
            <w:pPr>
              <w:keepNext/>
              <w:keepLines/>
              <w:spacing w:after="0"/>
              <w:jc w:val="center"/>
              <w:rPr>
                <w:rFonts w:ascii="Arial" w:hAnsi="Arial" w:eastAsia="MS Mincho"/>
                <w:b/>
                <w:sz w:val="18"/>
              </w:rPr>
            </w:pPr>
            <w:r>
              <w:rPr>
                <w:rFonts w:ascii="Arial" w:hAnsi="Arial" w:eastAsia="MS Mincho"/>
                <w:b/>
                <w:sz w:val="18"/>
              </w:rPr>
              <w:t>Unit</w:t>
            </w:r>
          </w:p>
        </w:tc>
        <w:tc>
          <w:tcPr>
            <w:tcW w:w="2406" w:type="dxa"/>
          </w:tcPr>
          <w:p>
            <w:pPr>
              <w:keepNext/>
              <w:keepLines/>
              <w:spacing w:after="0"/>
              <w:jc w:val="center"/>
              <w:rPr>
                <w:rFonts w:ascii="Arial" w:hAnsi="Arial" w:eastAsia="MS Mincho"/>
                <w:b/>
                <w:sz w:val="18"/>
              </w:rPr>
            </w:pPr>
            <w:r>
              <w:rPr>
                <w:rFonts w:ascii="Arial" w:hAnsi="Arial" w:eastAsia="MS Mincho"/>
                <w:b/>
                <w:sz w:val="18"/>
              </w:rPr>
              <w:t>Average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QPSK</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ascii="Arial" w:hAnsi="Arial" w:eastAsia="MS Mincho"/>
                <w:sz w:val="18"/>
              </w:rPr>
              <w:t>16</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ascii="Arial" w:hAnsi="Arial" w:eastAsia="MS Mincho" w:cs="v5.0.0"/>
                <w:sz w:val="18"/>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rPr>
            </w:pPr>
            <w:r>
              <w:rPr>
                <w:rFonts w:hint="eastAsia" w:ascii="Arial" w:hAnsi="Arial" w:eastAsia="MS Mincho"/>
                <w:sz w:val="18"/>
                <w:lang w:eastAsia="zh-CN"/>
              </w:rPr>
              <w:t>64</w:t>
            </w:r>
            <w:r>
              <w:rPr>
                <w:rFonts w:hint="eastAsia" w:ascii="Arial" w:hAnsi="Arial" w:eastAsia="Malgun Gothic"/>
                <w:sz w:val="18"/>
              </w:rPr>
              <w:t xml:space="preserve"> </w:t>
            </w:r>
            <w:r>
              <w:rPr>
                <w:rFonts w:ascii="Arial" w:hAnsi="Arial" w:eastAsia="MS Mincho"/>
                <w:sz w:val="18"/>
              </w:rPr>
              <w:t xml:space="preserve">QAM </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rPr>
            </w:pPr>
            <w:r>
              <w:rPr>
                <w:rFonts w:hint="eastAsia" w:ascii="Arial" w:hAnsi="Arial" w:eastAsia="MS Mincho" w:cs="v5.0.0"/>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256" w:type="dxa"/>
          </w:tcPr>
          <w:p>
            <w:pPr>
              <w:keepNext/>
              <w:keepLines/>
              <w:spacing w:after="0"/>
              <w:jc w:val="center"/>
              <w:rPr>
                <w:rFonts w:ascii="Arial" w:hAnsi="Arial" w:eastAsia="MS Mincho"/>
                <w:sz w:val="18"/>
                <w:lang w:eastAsia="zh-CN"/>
              </w:rPr>
            </w:pPr>
            <w:r>
              <w:rPr>
                <w:rFonts w:ascii="Arial" w:hAnsi="Arial" w:eastAsia="MS Mincho"/>
                <w:sz w:val="18"/>
                <w:lang w:eastAsia="zh-CN"/>
              </w:rPr>
              <w:t>256 QAM</w:t>
            </w:r>
          </w:p>
        </w:tc>
        <w:tc>
          <w:tcPr>
            <w:tcW w:w="1135" w:type="dxa"/>
          </w:tcPr>
          <w:p>
            <w:pPr>
              <w:keepNext/>
              <w:keepLines/>
              <w:spacing w:after="0"/>
              <w:jc w:val="center"/>
              <w:rPr>
                <w:rFonts w:ascii="Arial" w:hAnsi="Arial" w:eastAsia="MS Mincho" w:cs="v5.0.0"/>
                <w:sz w:val="18"/>
              </w:rPr>
            </w:pPr>
            <w:r>
              <w:rPr>
                <w:rFonts w:ascii="Arial" w:hAnsi="Arial" w:eastAsia="MS Mincho" w:cs="v5.0.0"/>
                <w:sz w:val="18"/>
              </w:rPr>
              <w:t>%</w:t>
            </w:r>
          </w:p>
        </w:tc>
        <w:tc>
          <w:tcPr>
            <w:tcW w:w="2406" w:type="dxa"/>
          </w:tcPr>
          <w:p>
            <w:pPr>
              <w:keepNext/>
              <w:keepLines/>
              <w:spacing w:after="0"/>
              <w:jc w:val="center"/>
              <w:rPr>
                <w:rFonts w:ascii="Arial" w:hAnsi="Arial" w:eastAsia="MS Mincho" w:cs="v5.0.0"/>
                <w:sz w:val="18"/>
                <w:lang w:eastAsia="zh-CN"/>
              </w:rPr>
            </w:pPr>
            <w:r>
              <w:rPr>
                <w:rFonts w:ascii="Arial" w:hAnsi="Arial" w:eastAsia="MS Mincho" w:cs="v5.0.0"/>
                <w:sz w:val="18"/>
                <w:lang w:eastAsia="zh-CN"/>
              </w:rPr>
              <w:t>3.5</w:t>
            </w:r>
          </w:p>
        </w:tc>
      </w:tr>
    </w:tbl>
    <w:p>
      <w:pPr>
        <w:pStyle w:val="5"/>
        <w:spacing w:before="120" w:beforeAutospacing="1" w:after="312" w:afterLines="100"/>
        <w:outlineLvl w:val="3"/>
        <w:rPr>
          <w:lang w:eastAsia="zh-CN"/>
        </w:rPr>
      </w:pPr>
      <w:bookmarkStart w:id="1020" w:name="_Toc13829"/>
      <w:bookmarkStart w:id="1021" w:name="_Toc26099"/>
      <w:bookmarkStart w:id="1022" w:name="_Toc20817"/>
      <w:bookmarkStart w:id="1023" w:name="_Toc415"/>
      <w:bookmarkStart w:id="1024" w:name="_Toc25932"/>
      <w:bookmarkStart w:id="1025" w:name="_Toc2850"/>
      <w:bookmarkStart w:id="1026" w:name="_Toc14635"/>
      <w:bookmarkStart w:id="1027" w:name="_Toc20890"/>
      <w:r>
        <w:rPr>
          <w:lang w:eastAsia="zh-CN"/>
        </w:rPr>
        <w:t>7.1.2.10 Occupied bandwidth</w:t>
      </w:r>
      <w:bookmarkEnd w:id="1020"/>
      <w:bookmarkEnd w:id="1021"/>
      <w:bookmarkEnd w:id="1022"/>
      <w:bookmarkEnd w:id="1023"/>
      <w:bookmarkEnd w:id="1024"/>
      <w:bookmarkEnd w:id="1025"/>
      <w:bookmarkEnd w:id="1026"/>
      <w:bookmarkEnd w:id="1027"/>
    </w:p>
    <w:p>
      <w:pPr>
        <w:rPr>
          <w:rFonts w:eastAsia="宋体"/>
          <w:lang w:eastAsia="zh-CN"/>
        </w:rPr>
      </w:pPr>
      <w:r>
        <w:rPr>
          <w:rFonts w:eastAsia="宋体"/>
          <w:lang w:eastAsia="zh-CN"/>
        </w:rPr>
        <w:t>The Occupied bandwidth requirement in subclause 6.5.1 of 38.101-1 [4] is applicable for ATG UE operating in FR1.</w:t>
      </w:r>
    </w:p>
    <w:p>
      <w:pPr>
        <w:pStyle w:val="5"/>
        <w:spacing w:before="120" w:beforeAutospacing="1" w:after="312" w:afterLines="100"/>
        <w:outlineLvl w:val="3"/>
        <w:rPr>
          <w:lang w:eastAsia="zh-CN"/>
        </w:rPr>
      </w:pPr>
      <w:bookmarkStart w:id="1028" w:name="_Toc22675"/>
      <w:bookmarkStart w:id="1029" w:name="_Toc8732"/>
      <w:bookmarkStart w:id="1030" w:name="_Toc16881"/>
      <w:bookmarkStart w:id="1031" w:name="_Toc29731"/>
      <w:bookmarkStart w:id="1032" w:name="_Toc13315"/>
      <w:bookmarkStart w:id="1033" w:name="_Toc22640"/>
      <w:bookmarkStart w:id="1034" w:name="_Toc13929"/>
      <w:bookmarkStart w:id="1035" w:name="_Toc4253"/>
      <w:r>
        <w:rPr>
          <w:lang w:eastAsia="zh-CN"/>
        </w:rPr>
        <w:t>7.1.2.11 SEM requirements</w:t>
      </w:r>
      <w:bookmarkEnd w:id="1028"/>
      <w:bookmarkEnd w:id="1029"/>
      <w:bookmarkEnd w:id="1030"/>
      <w:bookmarkEnd w:id="1031"/>
      <w:bookmarkEnd w:id="1032"/>
      <w:bookmarkEnd w:id="1033"/>
      <w:bookmarkEnd w:id="1034"/>
      <w:bookmarkEnd w:id="1035"/>
    </w:p>
    <w:p>
      <w:pPr>
        <w:rPr>
          <w:rFonts w:eastAsia="宋体"/>
          <w:lang w:eastAsia="zh-CN"/>
        </w:rPr>
      </w:pPr>
    </w:p>
    <w:p>
      <w:pPr>
        <w:pStyle w:val="5"/>
        <w:spacing w:before="120" w:beforeAutospacing="1" w:after="312" w:afterLines="100"/>
        <w:outlineLvl w:val="3"/>
        <w:rPr>
          <w:lang w:eastAsia="zh-CN"/>
        </w:rPr>
      </w:pPr>
      <w:bookmarkStart w:id="1036" w:name="_Toc7552"/>
      <w:bookmarkStart w:id="1037" w:name="_Toc4103"/>
      <w:bookmarkStart w:id="1038" w:name="_Toc13923"/>
      <w:bookmarkStart w:id="1039" w:name="_Toc3600"/>
      <w:bookmarkStart w:id="1040" w:name="_Toc1685"/>
      <w:bookmarkStart w:id="1041" w:name="_Toc28039"/>
      <w:bookmarkStart w:id="1042" w:name="_Toc22143"/>
      <w:bookmarkStart w:id="1043" w:name="_Toc14573"/>
      <w:r>
        <w:rPr>
          <w:lang w:eastAsia="zh-CN"/>
        </w:rPr>
        <w:t>7.1.2.12 ACLR requirements</w:t>
      </w:r>
      <w:bookmarkEnd w:id="1036"/>
      <w:bookmarkEnd w:id="1037"/>
      <w:bookmarkEnd w:id="1038"/>
      <w:bookmarkEnd w:id="1039"/>
      <w:bookmarkEnd w:id="1040"/>
      <w:bookmarkEnd w:id="1041"/>
      <w:bookmarkEnd w:id="1042"/>
      <w:bookmarkEnd w:id="1043"/>
    </w:p>
    <w:p>
      <w:pPr>
        <w:rPr>
          <w:rFonts w:eastAsia="宋体"/>
          <w:color w:val="auto"/>
          <w:lang w:eastAsia="zh-CN"/>
        </w:rPr>
      </w:pPr>
      <w:r>
        <w:rPr>
          <w:rFonts w:eastAsia="宋体"/>
          <w:color w:val="auto"/>
          <w:szCs w:val="24"/>
          <w:lang w:eastAsia="zh-CN"/>
        </w:rPr>
        <w:t>FR1 PC3 ACLR requirement in 38.101-1 is reused for ATG CPE.</w:t>
      </w:r>
    </w:p>
    <w:p>
      <w:pPr>
        <w:pStyle w:val="5"/>
        <w:spacing w:before="120" w:beforeAutospacing="1" w:after="312" w:afterLines="100"/>
        <w:outlineLvl w:val="3"/>
        <w:rPr>
          <w:lang w:eastAsia="zh-CN"/>
        </w:rPr>
      </w:pPr>
      <w:bookmarkStart w:id="1044" w:name="_Toc25405"/>
      <w:bookmarkStart w:id="1045" w:name="_Toc29136"/>
      <w:bookmarkStart w:id="1046" w:name="_Toc28452"/>
      <w:bookmarkStart w:id="1047" w:name="_Toc15436"/>
      <w:bookmarkStart w:id="1048" w:name="_Toc16300"/>
      <w:bookmarkStart w:id="1049" w:name="_Toc19505"/>
      <w:bookmarkStart w:id="1050" w:name="_Toc22333"/>
      <w:bookmarkStart w:id="1051" w:name="_Toc2431"/>
      <w:r>
        <w:rPr>
          <w:lang w:eastAsia="zh-CN"/>
        </w:rPr>
        <w:t>7.1.2.13 Spurious emission</w:t>
      </w:r>
      <w:bookmarkEnd w:id="1044"/>
      <w:bookmarkEnd w:id="1045"/>
      <w:bookmarkEnd w:id="1046"/>
      <w:bookmarkEnd w:id="1047"/>
      <w:bookmarkEnd w:id="1048"/>
      <w:bookmarkEnd w:id="1049"/>
      <w:bookmarkEnd w:id="1050"/>
      <w:bookmarkEnd w:id="1051"/>
    </w:p>
    <w:p>
      <w:pPr>
        <w:rPr>
          <w:rFonts w:eastAsia="宋体"/>
          <w:lang w:eastAsia="zh-CN"/>
        </w:rPr>
      </w:pPr>
      <w:r>
        <w:rPr>
          <w:rFonts w:eastAsia="宋体"/>
          <w:lang w:eastAsia="zh-CN"/>
        </w:rPr>
        <w:t>The general spurious emission requirement in subclause 6.5.3.1 of 38.101-1 [4] is applicable for ATG UE operating in FR1.</w:t>
      </w:r>
    </w:p>
    <w:p>
      <w:pPr>
        <w:pStyle w:val="5"/>
        <w:spacing w:before="120" w:beforeAutospacing="1" w:after="312" w:afterLines="100"/>
        <w:outlineLvl w:val="3"/>
        <w:rPr>
          <w:lang w:eastAsia="zh-CN"/>
        </w:rPr>
      </w:pPr>
      <w:bookmarkStart w:id="1052" w:name="_Toc5073"/>
      <w:bookmarkStart w:id="1053" w:name="_Toc12810"/>
      <w:bookmarkStart w:id="1054" w:name="_Toc22751"/>
      <w:bookmarkStart w:id="1055" w:name="_Toc3134"/>
      <w:bookmarkStart w:id="1056" w:name="_Toc31537"/>
      <w:bookmarkStart w:id="1057" w:name="_Toc22422"/>
      <w:bookmarkStart w:id="1058" w:name="_Toc30893"/>
      <w:bookmarkStart w:id="1059" w:name="_Toc32286"/>
      <w:r>
        <w:rPr>
          <w:lang w:eastAsia="zh-CN"/>
        </w:rPr>
        <w:t>7.1.2.14 Spurious emissions for UE co-existence</w:t>
      </w:r>
      <w:bookmarkEnd w:id="1052"/>
      <w:bookmarkEnd w:id="1053"/>
      <w:bookmarkEnd w:id="1054"/>
      <w:bookmarkEnd w:id="1055"/>
      <w:bookmarkEnd w:id="1056"/>
      <w:bookmarkEnd w:id="1057"/>
      <w:bookmarkEnd w:id="1058"/>
      <w:bookmarkEnd w:id="1059"/>
    </w:p>
    <w:p>
      <w:pPr>
        <w:rPr>
          <w:rFonts w:eastAsia="宋体"/>
          <w:lang w:eastAsia="zh-CN"/>
        </w:rPr>
      </w:pPr>
      <w:r>
        <w:rPr>
          <w:rFonts w:eastAsia="宋体"/>
          <w:lang w:eastAsia="zh-CN"/>
        </w:rPr>
        <w:t>Given the separation distance between ATG UE and TN UE is quite large, it is expected that the achievable MCL can be large enough to overcome the UE-UE interference. This requirement will not be specified for ATG UE.</w:t>
      </w:r>
    </w:p>
    <w:p>
      <w:pPr>
        <w:pStyle w:val="5"/>
        <w:spacing w:before="120" w:beforeAutospacing="1" w:after="312" w:afterLines="100"/>
        <w:outlineLvl w:val="3"/>
        <w:rPr>
          <w:lang w:eastAsia="zh-CN"/>
        </w:rPr>
      </w:pPr>
      <w:bookmarkStart w:id="1060" w:name="_Toc7400"/>
      <w:bookmarkStart w:id="1061" w:name="_Toc1675"/>
      <w:bookmarkStart w:id="1062" w:name="_Toc16413"/>
      <w:bookmarkStart w:id="1063" w:name="_Toc24684"/>
      <w:bookmarkStart w:id="1064" w:name="_Toc26803"/>
      <w:bookmarkStart w:id="1065" w:name="_Toc31658"/>
      <w:bookmarkStart w:id="1066" w:name="_Toc5454"/>
      <w:bookmarkStart w:id="1067" w:name="_Toc9497"/>
      <w:r>
        <w:rPr>
          <w:lang w:eastAsia="zh-CN"/>
        </w:rPr>
        <w:t>7.1.2.15 Transmit intermodulation</w:t>
      </w:r>
      <w:bookmarkEnd w:id="1060"/>
      <w:bookmarkEnd w:id="1061"/>
      <w:bookmarkEnd w:id="1062"/>
      <w:bookmarkEnd w:id="1063"/>
      <w:bookmarkEnd w:id="1064"/>
      <w:bookmarkEnd w:id="1065"/>
      <w:bookmarkEnd w:id="1066"/>
      <w:bookmarkEnd w:id="1067"/>
    </w:p>
    <w:p>
      <w:pPr>
        <w:rPr>
          <w:lang w:eastAsia="zh-CN"/>
        </w:rPr>
      </w:pPr>
    </w:p>
    <w:p>
      <w:pPr>
        <w:pStyle w:val="4"/>
        <w:rPr>
          <w:lang w:eastAsia="zh-CN"/>
        </w:rPr>
      </w:pPr>
      <w:bookmarkStart w:id="1068" w:name="_Toc18903"/>
      <w:bookmarkStart w:id="1069" w:name="_Toc133498158"/>
      <w:bookmarkStart w:id="1070" w:name="_Toc5838"/>
      <w:bookmarkStart w:id="1071" w:name="_Toc613"/>
      <w:bookmarkStart w:id="1072" w:name="_Toc9071"/>
      <w:bookmarkStart w:id="1073" w:name="_Toc23559"/>
      <w:bookmarkStart w:id="1074" w:name="_Toc683"/>
      <w:bookmarkStart w:id="1075" w:name="_Toc18261"/>
      <w:bookmarkStart w:id="1076" w:name="_Toc14535"/>
      <w:bookmarkStart w:id="1077" w:name="_Toc19152"/>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1068"/>
      <w:bookmarkEnd w:id="1069"/>
      <w:bookmarkEnd w:id="1070"/>
      <w:bookmarkEnd w:id="1071"/>
      <w:bookmarkEnd w:id="1072"/>
      <w:bookmarkEnd w:id="1073"/>
      <w:bookmarkEnd w:id="1074"/>
      <w:bookmarkEnd w:id="1075"/>
      <w:bookmarkEnd w:id="1076"/>
      <w:bookmarkEnd w:id="1077"/>
    </w:p>
    <w:p>
      <w:pPr>
        <w:pStyle w:val="5"/>
        <w:keepNext/>
        <w:keepLines/>
        <w:spacing w:before="120"/>
        <w:outlineLvl w:val="3"/>
        <w:rPr>
          <w:lang w:val="en-US" w:eastAsia="zh-CN"/>
        </w:rPr>
      </w:pPr>
      <w:bookmarkStart w:id="1078" w:name="_Toc32499"/>
      <w:bookmarkStart w:id="1079" w:name="_Toc8668"/>
      <w:bookmarkStart w:id="1080" w:name="_Toc12222"/>
      <w:bookmarkStart w:id="1081" w:name="_Toc29747"/>
      <w:bookmarkStart w:id="1082" w:name="_Toc1339"/>
      <w:bookmarkStart w:id="1083" w:name="_Toc23694"/>
      <w:bookmarkStart w:id="1084" w:name="_Toc11704"/>
      <w:bookmarkStart w:id="1085" w:name="_Toc20007"/>
      <w:r>
        <w:rPr>
          <w:lang w:val="en-US" w:eastAsia="zh-CN"/>
        </w:rPr>
        <w:t>7.1.3.1</w:t>
      </w:r>
      <w:r>
        <w:rPr>
          <w:lang w:val="en-US" w:eastAsia="zh-CN"/>
        </w:rPr>
        <w:tab/>
      </w:r>
      <w:r>
        <w:rPr>
          <w:lang w:val="en-US" w:eastAsia="zh-CN"/>
        </w:rPr>
        <w:t>General</w:t>
      </w:r>
      <w:bookmarkEnd w:id="1078"/>
      <w:bookmarkEnd w:id="1079"/>
      <w:bookmarkEnd w:id="1080"/>
      <w:bookmarkEnd w:id="1081"/>
      <w:bookmarkEnd w:id="1082"/>
      <w:bookmarkEnd w:id="1083"/>
      <w:bookmarkEnd w:id="1084"/>
      <w:bookmarkEnd w:id="1085"/>
    </w:p>
    <w:p>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pPr>
        <w:pStyle w:val="5"/>
        <w:keepNext/>
        <w:keepLines/>
        <w:spacing w:before="120"/>
        <w:outlineLvl w:val="3"/>
        <w:rPr>
          <w:lang w:val="en-US" w:eastAsia="zh-CN"/>
        </w:rPr>
      </w:pPr>
      <w:bookmarkStart w:id="1086" w:name="_Toc2892"/>
      <w:bookmarkStart w:id="1087" w:name="_Toc17678"/>
      <w:bookmarkStart w:id="1088" w:name="_Toc24451"/>
      <w:bookmarkStart w:id="1089" w:name="_Toc28775"/>
      <w:bookmarkStart w:id="1090" w:name="_Toc25683"/>
      <w:bookmarkStart w:id="1091" w:name="_Toc5222"/>
      <w:bookmarkStart w:id="1092" w:name="_Toc3715"/>
      <w:bookmarkStart w:id="1093" w:name="_Toc22875"/>
      <w:r>
        <w:rPr>
          <w:lang w:val="en-US" w:eastAsia="zh-CN"/>
        </w:rPr>
        <w:t>7.1.3.2</w:t>
      </w:r>
      <w:r>
        <w:rPr>
          <w:lang w:val="en-US" w:eastAsia="zh-CN"/>
        </w:rPr>
        <w:tab/>
      </w:r>
      <w:r>
        <w:rPr>
          <w:lang w:val="en-US" w:eastAsia="zh-CN"/>
        </w:rPr>
        <w:t>Diversity characteristics</w:t>
      </w:r>
      <w:bookmarkEnd w:id="1086"/>
      <w:bookmarkEnd w:id="1087"/>
      <w:bookmarkEnd w:id="1088"/>
      <w:bookmarkEnd w:id="1089"/>
      <w:bookmarkEnd w:id="1090"/>
      <w:bookmarkEnd w:id="1091"/>
      <w:bookmarkEnd w:id="1092"/>
      <w:bookmarkEnd w:id="1093"/>
    </w:p>
    <w:p>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pPr>
        <w:pStyle w:val="5"/>
        <w:keepNext/>
        <w:keepLines/>
        <w:spacing w:before="120"/>
        <w:outlineLvl w:val="3"/>
        <w:rPr>
          <w:lang w:val="en-US" w:eastAsia="zh-CN"/>
        </w:rPr>
      </w:pPr>
      <w:bookmarkStart w:id="1094" w:name="_Toc15067"/>
      <w:bookmarkStart w:id="1095" w:name="_Toc28043"/>
      <w:bookmarkStart w:id="1096" w:name="_Toc28375"/>
      <w:bookmarkStart w:id="1097" w:name="_Toc15508"/>
      <w:bookmarkStart w:id="1098" w:name="_Toc18980"/>
      <w:bookmarkStart w:id="1099" w:name="_Toc9674"/>
      <w:bookmarkStart w:id="1100" w:name="_Toc21565"/>
      <w:bookmarkStart w:id="1101" w:name="_Toc24580"/>
      <w:r>
        <w:rPr>
          <w:lang w:val="en-US" w:eastAsia="zh-CN"/>
        </w:rPr>
        <w:t>7.1.3.3</w:t>
      </w:r>
      <w:r>
        <w:rPr>
          <w:lang w:val="en-US" w:eastAsia="zh-CN"/>
        </w:rPr>
        <w:tab/>
      </w:r>
      <w:r>
        <w:rPr>
          <w:lang w:val="en-US" w:eastAsia="zh-CN"/>
        </w:rPr>
        <w:t>REFSENS requirements</w:t>
      </w:r>
      <w:bookmarkEnd w:id="1094"/>
      <w:bookmarkEnd w:id="1095"/>
      <w:bookmarkEnd w:id="1096"/>
      <w:bookmarkEnd w:id="1097"/>
      <w:bookmarkEnd w:id="1098"/>
      <w:bookmarkEnd w:id="1099"/>
      <w:bookmarkEnd w:id="1100"/>
      <w:bookmarkEnd w:id="1101"/>
    </w:p>
    <w:p>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sz w:val="22"/>
          <w:szCs w:val="22"/>
          <w:lang w:val="en-US" w:eastAsia="zh-CN"/>
        </w:rPr>
        <w:t>3</w:t>
      </w:r>
      <w:r>
        <w:rPr>
          <w:sz w:val="22"/>
          <w:szCs w:val="22"/>
          <w:lang w:val="en-US" w:eastAsia="zh-CN"/>
        </w:rPr>
        <w:t>-1</w:t>
      </w:r>
      <w:r>
        <w:rPr>
          <w:rFonts w:hint="eastAsia"/>
          <w:sz w:val="22"/>
          <w:szCs w:val="22"/>
          <w:lang w:val="en-US" w:eastAsia="zh-CN"/>
        </w:rPr>
        <w:t>a</w:t>
      </w:r>
      <w:r>
        <w:rPr>
          <w:sz w:val="22"/>
          <w:szCs w:val="22"/>
          <w:lang w:val="en-US" w:eastAsia="zh-CN"/>
        </w:rPr>
        <w:t>, Table 7.1.3.</w:t>
      </w:r>
      <w:r>
        <w:rPr>
          <w:rFonts w:hint="eastAsia"/>
          <w:sz w:val="22"/>
          <w:szCs w:val="22"/>
          <w:lang w:val="en-US" w:eastAsia="zh-CN"/>
        </w:rPr>
        <w:t>3</w:t>
      </w:r>
      <w:r>
        <w:rPr>
          <w:sz w:val="22"/>
          <w:szCs w:val="22"/>
          <w:lang w:val="en-US" w:eastAsia="zh-CN"/>
        </w:rPr>
        <w:t>-</w:t>
      </w:r>
      <w:r>
        <w:rPr>
          <w:rFonts w:hint="eastAsia"/>
          <w:sz w:val="22"/>
          <w:szCs w:val="22"/>
          <w:lang w:val="en-US" w:eastAsia="zh-CN"/>
        </w:rPr>
        <w:t>1b</w:t>
      </w:r>
      <w:r>
        <w:rPr>
          <w:sz w:val="22"/>
          <w:szCs w:val="22"/>
          <w:lang w:val="en-US" w:eastAsia="zh-CN"/>
        </w:rPr>
        <w:t xml:space="preserve"> and Table 7.1.3.2.2-3</w:t>
      </w:r>
    </w:p>
    <w:p>
      <w:pPr>
        <w:keepNext/>
        <w:keepLines/>
        <w:spacing w:before="60"/>
        <w:jc w:val="center"/>
        <w:rPr>
          <w:rFonts w:ascii="Arial" w:hAnsi="Arial"/>
          <w:b/>
        </w:rPr>
      </w:pPr>
      <w:r>
        <w:rPr>
          <w:rFonts w:ascii="Arial" w:hAnsi="Arial"/>
          <w:b/>
        </w:rPr>
        <w:t>Table 7.1.3.</w:t>
      </w:r>
      <w:r>
        <w:rPr>
          <w:rFonts w:hint="eastAsia" w:ascii="Arial" w:hAnsi="Arial" w:eastAsia="宋体"/>
          <w:b/>
          <w:lang w:val="en-US" w:eastAsia="zh-CN"/>
        </w:rPr>
        <w:t>3</w:t>
      </w:r>
      <w:r>
        <w:rPr>
          <w:rFonts w:ascii="Arial" w:hAnsi="Arial"/>
          <w:b/>
        </w:rPr>
        <w:t>-1</w:t>
      </w:r>
      <w:r>
        <w:rPr>
          <w:rFonts w:hint="eastAsia" w:ascii="Arial" w:hAnsi="Arial" w:eastAsia="宋体"/>
          <w:b/>
          <w:lang w:val="en-US" w:eastAsia="zh-CN"/>
        </w:rPr>
        <w:t>a</w:t>
      </w:r>
      <w:r>
        <w:rPr>
          <w:rFonts w:ascii="Arial" w:hAnsi="Arial"/>
          <w:b/>
        </w:rPr>
        <w:t>: Two antenna port reference sensitivity QPSK REFSENS for FDD bands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4"/>
        <w:gridCol w:w="665"/>
        <w:gridCol w:w="784"/>
        <w:gridCol w:w="783"/>
        <w:gridCol w:w="784"/>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5045" w:type="dxa"/>
            <w:gridSpan w:val="6"/>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 / SCS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tblHeader/>
          <w:jc w:val="center"/>
        </w:trPr>
        <w:tc>
          <w:tcPr>
            <w:tcW w:w="1164" w:type="dxa"/>
            <w:tcBorders>
              <w:bottom w:val="single" w:color="auto" w:sz="4" w:space="0"/>
            </w:tcBorders>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Operating Band</w:t>
            </w:r>
          </w:p>
        </w:tc>
        <w:tc>
          <w:tcPr>
            <w:tcW w:w="665" w:type="dxa"/>
            <w:vAlign w:val="center"/>
          </w:tcPr>
          <w:p>
            <w:pPr>
              <w:keepNext/>
              <w:keepLines/>
              <w:spacing w:after="0"/>
              <w:jc w:val="center"/>
              <w:rPr>
                <w:rFonts w:ascii="Arial" w:hAnsi="Arial" w:eastAsia="PMingLiU"/>
                <w:b/>
                <w:sz w:val="18"/>
                <w:lang w:val="en-US"/>
              </w:rPr>
            </w:pPr>
            <w:r>
              <w:rPr>
                <w:rFonts w:ascii="Arial" w:hAnsi="Arial" w:eastAsia="PMingLiU"/>
                <w:b/>
                <w:sz w:val="18"/>
                <w:lang w:val="en-US"/>
              </w:rPr>
              <w:t>SCS kHz</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3"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784"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15</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c>
          <w:tcPr>
            <w:tcW w:w="861" w:type="dxa"/>
            <w:shd w:val="clear" w:color="auto" w:fill="auto"/>
            <w:vAlign w:val="center"/>
          </w:tcPr>
          <w:p>
            <w:pPr>
              <w:keepNext/>
              <w:keepLines/>
              <w:spacing w:after="0"/>
              <w:jc w:val="center"/>
              <w:rPr>
                <w:rFonts w:ascii="Arial" w:hAnsi="Arial" w:eastAsia="PMingLiU"/>
                <w:b/>
                <w:sz w:val="18"/>
                <w:lang w:val="en-US"/>
              </w:rPr>
            </w:pPr>
            <w:r>
              <w:rPr>
                <w:rFonts w:ascii="Arial" w:hAnsi="Arial" w:eastAsia="PMingLiU"/>
                <w:b/>
                <w:sz w:val="18"/>
                <w:lang w:val="en-US"/>
              </w:rPr>
              <w:t>20</w:t>
            </w:r>
          </w:p>
          <w:p>
            <w:pPr>
              <w:keepNext/>
              <w:keepLines/>
              <w:spacing w:after="0"/>
              <w:jc w:val="center"/>
              <w:rPr>
                <w:rFonts w:ascii="Arial" w:hAnsi="Arial" w:eastAsia="PMingLiU"/>
                <w:b/>
                <w:sz w:val="18"/>
                <w:lang w:val="en-US"/>
              </w:rPr>
            </w:pPr>
            <w:r>
              <w:rPr>
                <w:rFonts w:ascii="Arial" w:hAnsi="Arial" w:eastAsia="PMingLiU"/>
                <w:b/>
                <w:sz w:val="18"/>
                <w:lang w:val="en-US"/>
              </w:rPr>
              <w:t>MHz</w:t>
            </w:r>
            <w:r>
              <w:rPr>
                <w:rFonts w:ascii="Arial" w:hAnsi="Arial" w:eastAsia="PMingLiU"/>
                <w:b/>
                <w:sz w:val="18"/>
                <w:lang w:val="en-US"/>
              </w:rPr>
              <w:br w:type="textWrapping"/>
            </w:r>
            <w:r>
              <w:rPr>
                <w:rFonts w:ascii="Arial" w:hAnsi="Arial" w:eastAsia="PMingLiU"/>
                <w:b/>
                <w:sz w:val="18"/>
                <w:lang w:val="en-US"/>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restart"/>
            <w:shd w:val="clear" w:color="auto" w:fill="auto"/>
            <w:vAlign w:val="center"/>
          </w:tcPr>
          <w:p>
            <w:pPr>
              <w:keepNext/>
              <w:keepLines/>
              <w:spacing w:after="0"/>
              <w:jc w:val="center"/>
              <w:rPr>
                <w:rFonts w:ascii="Arial" w:hAnsi="Arial" w:eastAsia="PMingLiU"/>
                <w:sz w:val="18"/>
                <w:lang w:val="en-US"/>
              </w:rPr>
            </w:pPr>
            <w:r>
              <w:rPr>
                <w:rFonts w:ascii="Arial" w:hAnsi="Arial" w:eastAsia="PMingLiU"/>
                <w:sz w:val="18"/>
                <w:lang w:val="en-US"/>
              </w:rPr>
              <w:t>n1</w:t>
            </w: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15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-100.0</w:t>
            </w: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-96.8</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-95.0</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30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-97.1</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-95.1</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164" w:type="dxa"/>
            <w:vMerge w:val="continue"/>
            <w:shd w:val="clear" w:color="auto" w:fill="auto"/>
            <w:vAlign w:val="center"/>
          </w:tcPr>
          <w:p>
            <w:pPr>
              <w:keepNext/>
              <w:keepLines/>
              <w:spacing w:after="0"/>
              <w:jc w:val="center"/>
              <w:rPr>
                <w:rFonts w:ascii="Arial" w:hAnsi="Arial" w:eastAsia="PMingLiU"/>
                <w:sz w:val="18"/>
                <w:lang w:val="en-US"/>
              </w:rPr>
            </w:pPr>
          </w:p>
        </w:tc>
        <w:tc>
          <w:tcPr>
            <w:tcW w:w="665" w:type="dxa"/>
          </w:tcPr>
          <w:p>
            <w:pPr>
              <w:keepNext/>
              <w:keepLines/>
              <w:spacing w:after="0"/>
              <w:jc w:val="center"/>
              <w:rPr>
                <w:rFonts w:ascii="Arial" w:hAnsi="Arial" w:eastAsia="PMingLiU"/>
                <w:sz w:val="18"/>
                <w:lang w:val="en-US"/>
              </w:rPr>
            </w:pPr>
            <w:r>
              <w:rPr>
                <w:rFonts w:ascii="Arial" w:hAnsi="Arial" w:eastAsia="PMingLiU"/>
                <w:sz w:val="18"/>
                <w:lang w:val="en-US"/>
              </w:rPr>
              <w:t>60</w:t>
            </w:r>
          </w:p>
        </w:tc>
        <w:tc>
          <w:tcPr>
            <w:tcW w:w="784" w:type="dxa"/>
            <w:shd w:val="clear" w:color="auto" w:fill="auto"/>
          </w:tcPr>
          <w:p>
            <w:pPr>
              <w:keepNext/>
              <w:keepLines/>
              <w:spacing w:after="0"/>
              <w:jc w:val="center"/>
              <w:rPr>
                <w:rFonts w:ascii="Arial" w:hAnsi="Arial" w:eastAsia="PMingLiU"/>
                <w:sz w:val="18"/>
                <w:lang w:val="en-US"/>
              </w:rPr>
            </w:pPr>
          </w:p>
        </w:tc>
        <w:tc>
          <w:tcPr>
            <w:tcW w:w="783"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-97.5</w:t>
            </w:r>
          </w:p>
        </w:tc>
        <w:tc>
          <w:tcPr>
            <w:tcW w:w="784"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-95.4</w:t>
            </w:r>
          </w:p>
        </w:tc>
        <w:tc>
          <w:tcPr>
            <w:tcW w:w="861" w:type="dxa"/>
            <w:shd w:val="clear" w:color="auto" w:fill="auto"/>
          </w:tcPr>
          <w:p>
            <w:pPr>
              <w:keepNext/>
              <w:keepLines/>
              <w:spacing w:after="0"/>
              <w:jc w:val="center"/>
              <w:rPr>
                <w:rFonts w:ascii="Arial" w:hAnsi="Arial" w:eastAsia="PMingLiU"/>
                <w:sz w:val="18"/>
                <w:lang w:val="en-US"/>
              </w:rPr>
            </w:pPr>
            <w:r>
              <w:rPr>
                <w:rFonts w:ascii="Arial" w:hAnsi="Arial" w:eastAsia="PMingLiU" w:cs="Arial"/>
                <w:sz w:val="18"/>
                <w:szCs w:val="18"/>
                <w:lang w:val="en-US"/>
              </w:rPr>
              <w:t>-94.2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w:t>
      </w:r>
      <w:r>
        <w:rPr>
          <w:rFonts w:hint="eastAsia" w:ascii="Arial" w:hAnsi="Arial" w:eastAsia="宋体"/>
          <w:b/>
          <w:lang w:val="en-US" w:eastAsia="zh-CN"/>
        </w:rPr>
        <w:t>3</w:t>
      </w:r>
      <w:r>
        <w:rPr>
          <w:rFonts w:ascii="Arial" w:hAnsi="Arial"/>
          <w:b/>
        </w:rPr>
        <w:t>-</w:t>
      </w:r>
      <w:r>
        <w:rPr>
          <w:rFonts w:hint="eastAsia" w:ascii="Arial" w:hAnsi="Arial" w:eastAsia="宋体"/>
          <w:b/>
          <w:lang w:val="en-US" w:eastAsia="zh-CN"/>
        </w:rPr>
        <w:t>1b</w:t>
      </w:r>
      <w:r>
        <w:rPr>
          <w:rFonts w:ascii="Arial" w:hAnsi="Arial"/>
          <w:b/>
        </w:rPr>
        <w:t>: Two antenna port reference sensitivity QPSK REFSENS for TDD bands</w:t>
      </w:r>
    </w:p>
    <w:tbl>
      <w:tblPr>
        <w:tblStyle w:val="138"/>
        <w:tblW w:w="86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587"/>
        <w:gridCol w:w="3870"/>
        <w:gridCol w:w="2275"/>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48" w:type="dxa"/>
            <w:gridSpan w:val="5"/>
            <w:vAlign w:val="center"/>
          </w:tcPr>
          <w:p>
            <w:pPr>
              <w:spacing w:after="0" w:line="259" w:lineRule="auto"/>
              <w:jc w:val="center"/>
              <w:rPr>
                <w:rFonts w:ascii="Arial" w:hAnsi="Arial" w:cs="Arial"/>
                <w:b/>
                <w:bCs/>
                <w:sz w:val="18"/>
                <w:szCs w:val="18"/>
                <w:lang w:val="en-US" w:eastAsia="zh-TW"/>
              </w:rPr>
            </w:pPr>
            <w:bookmarkStart w:id="1102" w:name="_Hlk78840377"/>
            <w:r>
              <w:rPr>
                <w:rFonts w:ascii="Arial" w:hAnsi="Arial" w:cs="Arial"/>
                <w:b/>
                <w:bCs/>
                <w:sz w:val="18"/>
                <w:szCs w:val="18"/>
                <w:lang w:val="en-US" w:eastAsia="zh-TW"/>
              </w:rPr>
              <w:t>Operating band / SCS / Channel bandwidth / REFSENS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eastAsia="PMingLiU" w:cs="Arial"/>
                <w:b/>
                <w:bCs/>
                <w:sz w:val="18"/>
                <w:szCs w:val="18"/>
                <w:lang w:eastAsia="zh-CN"/>
              </w:rPr>
            </w:pPr>
            <w:r>
              <w:rPr>
                <w:rFonts w:ascii="Arial" w:hAnsi="Arial"/>
                <w:sz w:val="18"/>
                <w:lang w:eastAsia="zh-TW"/>
              </w:rPr>
              <w:t>n39</w:t>
            </w: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b/>
                <w:bCs/>
                <w:sz w:val="18"/>
                <w:szCs w:val="18"/>
                <w:lang w:val="en-US" w:eastAsia="zh-TW"/>
              </w:rPr>
            </w:pPr>
          </w:p>
        </w:tc>
        <w:tc>
          <w:tcPr>
            <w:tcW w:w="587"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b/>
                <w:sz w:val="18"/>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keepNext/>
              <w:spacing w:after="0"/>
              <w:jc w:val="center"/>
              <w:rPr>
                <w:rFonts w:ascii="Arial" w:hAnsi="Arial"/>
                <w:sz w:val="18"/>
                <w:lang w:eastAsia="zh-TW"/>
              </w:rPr>
            </w:pPr>
            <w:r>
              <w:rPr>
                <w:rFonts w:ascii="Arial" w:hAnsi="Arial"/>
                <w:sz w:val="18"/>
                <w:lang w:eastAsia="zh-TW"/>
              </w:rPr>
              <w:t>n78</w:t>
            </w: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continue"/>
            <w:vAlign w:val="center"/>
          </w:tcPr>
          <w:p>
            <w:pPr>
              <w:spacing w:after="0" w:line="259" w:lineRule="auto"/>
              <w:jc w:val="center"/>
              <w:rPr>
                <w:rFonts w:ascii="Arial" w:hAnsi="Arial" w:cs="Arial"/>
                <w:sz w:val="18"/>
                <w:szCs w:val="18"/>
                <w:lang w:val="en-US"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vMerge w:val="continue"/>
            <w:vAlign w:val="center"/>
          </w:tcPr>
          <w:p>
            <w:pPr>
              <w:spacing w:after="0" w:line="259" w:lineRule="auto"/>
              <w:jc w:val="center"/>
              <w:rPr>
                <w:rFonts w:ascii="Arial" w:hAnsi="Arial" w:cs="Arial"/>
                <w:sz w:val="18"/>
                <w:szCs w:val="18"/>
                <w:lang w:val="en-US" w:eastAsia="zh-TW"/>
              </w:rPr>
            </w:pPr>
          </w:p>
        </w:tc>
        <w:tc>
          <w:tcPr>
            <w:tcW w:w="587"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color="auto" w:sz="4" w:space="0"/>
              <w:left w:val="single" w:color="auto" w:sz="4" w:space="0"/>
              <w:bottom w:val="single" w:color="auto" w:sz="4" w:space="0"/>
              <w:right w:val="single" w:color="auto" w:sz="4" w:space="0"/>
            </w:tcBorders>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continue"/>
            <w:vAlign w:val="center"/>
          </w:tcPr>
          <w:p>
            <w:pPr>
              <w:spacing w:after="0" w:line="259" w:lineRule="auto"/>
              <w:jc w:val="center"/>
              <w:rPr>
                <w:rFonts w:ascii="Arial" w:hAnsi="Arial" w:cs="Arial"/>
                <w:sz w:val="18"/>
                <w:szCs w:val="18"/>
                <w:lang w:val="en-US" w:eastAsia="zh-TW"/>
              </w:rPr>
            </w:pPr>
          </w:p>
        </w:tc>
      </w:tr>
      <w:bookmarkEnd w:id="1102"/>
    </w:tbl>
    <w:p>
      <w:pPr>
        <w:spacing w:after="160" w:line="259" w:lineRule="auto"/>
        <w:rPr>
          <w:rFonts w:ascii="Calibri" w:hAnsi="Calibri"/>
          <w:sz w:val="22"/>
          <w:szCs w:val="22"/>
          <w:lang w:val="en-US" w:eastAsia="zh-CN"/>
        </w:rPr>
      </w:pPr>
    </w:p>
    <w:p>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-1a and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-1b shall be modified by the amount given in ΔRIB,4R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-2 for the applicable operating bands.</w:t>
      </w:r>
    </w:p>
    <w:p>
      <w:pPr>
        <w:keepNext/>
        <w:keepLines/>
        <w:spacing w:before="60"/>
        <w:jc w:val="center"/>
        <w:rPr>
          <w:rFonts w:ascii="Arial" w:hAnsi="Arial"/>
          <w:b/>
          <w:bCs/>
          <w:vertAlign w:val="subscript"/>
        </w:rPr>
      </w:pPr>
      <w:r>
        <w:rPr>
          <w:rFonts w:ascii="Arial" w:hAnsi="Arial"/>
          <w:b/>
        </w:rPr>
        <w:t>Table 7.</w:t>
      </w:r>
      <w:r>
        <w:rPr>
          <w:rFonts w:hint="eastAsia" w:ascii="Arial" w:hAnsi="Arial" w:eastAsia="宋体"/>
          <w:b/>
          <w:lang w:val="en-US" w:eastAsia="zh-CN"/>
        </w:rPr>
        <w:t>1.</w:t>
      </w:r>
      <w:r>
        <w:rPr>
          <w:rFonts w:ascii="Arial" w:hAnsi="Arial"/>
          <w:b/>
        </w:rPr>
        <w:t>3.</w:t>
      </w:r>
      <w:r>
        <w:rPr>
          <w:rFonts w:hint="eastAsia" w:ascii="Arial" w:hAnsi="Arial" w:eastAsia="宋体"/>
          <w:b/>
          <w:lang w:val="en-US" w:eastAsia="zh-CN"/>
        </w:rPr>
        <w:t>3</w:t>
      </w:r>
      <w:r>
        <w:rPr>
          <w:rFonts w:ascii="Arial" w:hAnsi="Arial"/>
          <w:b/>
        </w:rPr>
        <w:t>-2: Four antenna port reference sensitivity allowance ΔR</w:t>
      </w:r>
      <w:r>
        <w:rPr>
          <w:rFonts w:ascii="Arial" w:hAnsi="Arial"/>
          <w:b/>
          <w:bCs/>
          <w:vertAlign w:val="subscript"/>
        </w:rPr>
        <w:t>IB,4R</w:t>
      </w:r>
    </w:p>
    <w:tbl>
      <w:tblPr>
        <w:tblStyle w:val="49"/>
        <w:tblW w:w="5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9"/>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tcPr>
          <w:p>
            <w:pPr>
              <w:keepNext/>
              <w:keepLines/>
              <w:spacing w:after="0"/>
              <w:jc w:val="center"/>
              <w:rPr>
                <w:rFonts w:ascii="Arial" w:hAnsi="Arial"/>
                <w:b/>
                <w:sz w:val="18"/>
              </w:rPr>
            </w:pPr>
            <w:r>
              <w:rPr>
                <w:rFonts w:ascii="Arial" w:hAnsi="Arial"/>
                <w:b/>
                <w:sz w:val="18"/>
              </w:rPr>
              <w:t>Operating band</w:t>
            </w:r>
          </w:p>
        </w:tc>
        <w:tc>
          <w:tcPr>
            <w:tcW w:w="2970" w:type="dxa"/>
          </w:tcPr>
          <w:p>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sz w:val="18"/>
              </w:rPr>
            </w:pPr>
            <w:r>
              <w:rPr>
                <w:rFonts w:ascii="Arial" w:hAnsi="Arial"/>
                <w:sz w:val="18"/>
              </w:rPr>
              <w:t xml:space="preserve">n1, </w:t>
            </w:r>
            <w:r>
              <w:rPr>
                <w:rFonts w:ascii="Arial" w:hAnsi="Arial" w:eastAsia="Calibri"/>
                <w:sz w:val="18"/>
              </w:rPr>
              <w:t>n39</w:t>
            </w:r>
          </w:p>
        </w:tc>
        <w:tc>
          <w:tcPr>
            <w:tcW w:w="2970" w:type="dxa"/>
            <w:vAlign w:val="center"/>
          </w:tcPr>
          <w:p>
            <w:pPr>
              <w:keepNext/>
              <w:keepLines/>
              <w:spacing w:after="0"/>
              <w:jc w:val="center"/>
              <w:rPr>
                <w:rFonts w:ascii="Arial" w:hAnsi="Arial"/>
                <w:sz w:val="18"/>
              </w:rPr>
            </w:pPr>
            <w:r>
              <w:rPr>
                <w:rFonts w:ascii="Arial" w:hAnsi="Arial"/>
                <w:sz w:val="18"/>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9" w:type="dxa"/>
            <w:vAlign w:val="center"/>
          </w:tcPr>
          <w:p>
            <w:pPr>
              <w:keepNext/>
              <w:keepLines/>
              <w:spacing w:after="0"/>
              <w:jc w:val="center"/>
              <w:rPr>
                <w:rFonts w:ascii="Arial" w:hAnsi="Arial" w:eastAsia="Calibri"/>
                <w:sz w:val="18"/>
              </w:rPr>
            </w:pPr>
            <w:r>
              <w:rPr>
                <w:rFonts w:ascii="Arial" w:hAnsi="Arial" w:eastAsia="Calibri"/>
                <w:sz w:val="18"/>
              </w:rPr>
              <w:t>n78, n79</w:t>
            </w:r>
          </w:p>
        </w:tc>
        <w:tc>
          <w:tcPr>
            <w:tcW w:w="2970" w:type="dxa"/>
            <w:vAlign w:val="center"/>
          </w:tcPr>
          <w:p>
            <w:pPr>
              <w:keepNext/>
              <w:keepLines/>
              <w:spacing w:after="0"/>
              <w:jc w:val="center"/>
              <w:rPr>
                <w:rFonts w:ascii="Arial" w:hAnsi="Arial"/>
                <w:sz w:val="18"/>
              </w:rPr>
            </w:pPr>
            <w:r>
              <w:rPr>
                <w:rFonts w:ascii="Arial" w:hAnsi="Arial"/>
                <w:sz w:val="18"/>
              </w:rPr>
              <w:t>-2.2</w:t>
            </w:r>
          </w:p>
        </w:tc>
      </w:tr>
    </w:tbl>
    <w:p>
      <w:pPr>
        <w:spacing w:after="160" w:line="259" w:lineRule="auto"/>
        <w:rPr>
          <w:rFonts w:ascii="Calibri" w:hAnsi="Calibri"/>
          <w:sz w:val="22"/>
          <w:szCs w:val="22"/>
          <w:lang w:val="en-US" w:eastAsia="zh-CN"/>
        </w:rPr>
      </w:pPr>
    </w:p>
    <w:p>
      <w:pPr>
        <w:keepNext/>
        <w:keepLines/>
        <w:spacing w:before="60"/>
        <w:jc w:val="center"/>
        <w:rPr>
          <w:rFonts w:ascii="Arial" w:hAnsi="Arial"/>
          <w:b/>
        </w:rPr>
      </w:pPr>
      <w:r>
        <w:rPr>
          <w:rFonts w:ascii="Arial" w:hAnsi="Arial"/>
          <w:b/>
        </w:rPr>
        <w:t>Table 7.1.3.</w:t>
      </w:r>
      <w:r>
        <w:rPr>
          <w:rFonts w:hint="eastAsia" w:ascii="Arial" w:hAnsi="Arial" w:eastAsia="宋体"/>
          <w:b/>
          <w:lang w:val="en-US" w:eastAsia="zh-CN"/>
        </w:rPr>
        <w:t>3</w:t>
      </w:r>
      <w:r>
        <w:rPr>
          <w:rFonts w:ascii="Arial" w:hAnsi="Arial"/>
          <w:b/>
        </w:rPr>
        <w:t>-3: Uplink configuration for reference sensitivity</w:t>
      </w:r>
    </w:p>
    <w:tbl>
      <w:tblPr>
        <w:tblStyle w:val="49"/>
        <w:tblW w:w="56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619"/>
        <w:gridCol w:w="469"/>
        <w:gridCol w:w="509"/>
        <w:gridCol w:w="509"/>
        <w:gridCol w:w="615"/>
        <w:gridCol w:w="615"/>
        <w:gridCol w:w="615"/>
        <w:gridCol w:w="489"/>
        <w:gridCol w:w="615"/>
        <w:gridCol w:w="615"/>
        <w:gridCol w:w="615"/>
        <w:gridCol w:w="544"/>
        <w:gridCol w:w="544"/>
        <w:gridCol w:w="544"/>
        <w:gridCol w:w="544"/>
        <w:gridCol w:w="545"/>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00" w:type="pct"/>
            <w:gridSpan w:val="18"/>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Operating band / SCS (kHz) / Channel bandwidth (MHz) / 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blHeader/>
          <w:jc w:val="center"/>
        </w:trPr>
        <w:tc>
          <w:tcPr>
            <w:tcW w:w="508"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Operating Band</w:t>
            </w:r>
          </w:p>
        </w:tc>
        <w:tc>
          <w:tcPr>
            <w:tcW w:w="280" w:type="pct"/>
            <w:vAlign w:val="center"/>
          </w:tcPr>
          <w:p>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25</w:t>
            </w:r>
          </w:p>
        </w:tc>
        <w:tc>
          <w:tcPr>
            <w:tcW w:w="278" w:type="pct"/>
            <w:vAlign w:val="center"/>
          </w:tcPr>
          <w:p>
            <w:pPr>
              <w:keepNext/>
              <w:keepLines/>
              <w:spacing w:after="0"/>
              <w:jc w:val="center"/>
              <w:rPr>
                <w:rFonts w:ascii="Arial" w:hAnsi="Arial"/>
                <w:b/>
                <w:sz w:val="18"/>
              </w:rPr>
            </w:pPr>
            <w:r>
              <w:rPr>
                <w:rFonts w:ascii="Arial" w:hAnsi="Arial"/>
                <w:b/>
                <w:sz w:val="18"/>
              </w:rPr>
              <w:t>30</w:t>
            </w:r>
          </w:p>
        </w:tc>
        <w:tc>
          <w:tcPr>
            <w:tcW w:w="221" w:type="pct"/>
            <w:vAlign w:val="center"/>
          </w:tcPr>
          <w:p>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pPr>
              <w:keepNext/>
              <w:keepLines/>
              <w:spacing w:after="0"/>
              <w:jc w:val="center"/>
              <w:rPr>
                <w:rFonts w:ascii="Arial" w:hAnsi="Arial"/>
                <w:b/>
                <w:sz w:val="18"/>
              </w:rPr>
            </w:pPr>
            <w:r>
              <w:rPr>
                <w:rFonts w:ascii="Arial" w:hAnsi="Arial"/>
                <w:b/>
                <w:sz w:val="18"/>
              </w:rPr>
              <w:t>40</w:t>
            </w:r>
          </w:p>
        </w:tc>
        <w:tc>
          <w:tcPr>
            <w:tcW w:w="278" w:type="pct"/>
            <w:vAlign w:val="center"/>
          </w:tcPr>
          <w:p>
            <w:pPr>
              <w:keepNext/>
              <w:keepLines/>
              <w:spacing w:after="0"/>
              <w:jc w:val="center"/>
              <w:rPr>
                <w:rFonts w:ascii="Arial" w:hAnsi="Arial"/>
                <w:b/>
                <w:sz w:val="18"/>
              </w:rPr>
            </w:pPr>
            <w:r>
              <w:rPr>
                <w:rFonts w:ascii="Arial" w:hAnsi="Arial"/>
                <w:b/>
                <w:sz w:val="18"/>
              </w:rPr>
              <w:t>45</w:t>
            </w:r>
          </w:p>
        </w:tc>
        <w:tc>
          <w:tcPr>
            <w:tcW w:w="278" w:type="pct"/>
            <w:vAlign w:val="center"/>
          </w:tcPr>
          <w:p>
            <w:pPr>
              <w:keepNext/>
              <w:keepLines/>
              <w:spacing w:after="0"/>
              <w:jc w:val="center"/>
              <w:rPr>
                <w:rFonts w:ascii="Arial" w:hAnsi="Arial"/>
                <w:b/>
                <w:sz w:val="18"/>
              </w:rPr>
            </w:pPr>
            <w:r>
              <w:rPr>
                <w:rFonts w:ascii="Arial" w:hAnsi="Arial"/>
                <w:b/>
                <w:sz w:val="18"/>
              </w:rPr>
              <w:t>50</w:t>
            </w:r>
          </w:p>
        </w:tc>
        <w:tc>
          <w:tcPr>
            <w:tcW w:w="246" w:type="pct"/>
            <w:vAlign w:val="center"/>
          </w:tcPr>
          <w:p>
            <w:pPr>
              <w:keepNext/>
              <w:keepLines/>
              <w:spacing w:after="0"/>
              <w:jc w:val="center"/>
              <w:rPr>
                <w:rFonts w:ascii="Arial" w:hAnsi="Arial"/>
                <w:b/>
                <w:sz w:val="18"/>
              </w:rPr>
            </w:pPr>
            <w:r>
              <w:rPr>
                <w:rFonts w:ascii="Arial" w:hAnsi="Arial"/>
                <w:b/>
                <w:sz w:val="18"/>
              </w:rPr>
              <w:t>60</w:t>
            </w:r>
          </w:p>
        </w:tc>
        <w:tc>
          <w:tcPr>
            <w:tcW w:w="246" w:type="pct"/>
            <w:vAlign w:val="center"/>
          </w:tcPr>
          <w:p>
            <w:pPr>
              <w:keepNext/>
              <w:keepLines/>
              <w:spacing w:after="0"/>
              <w:jc w:val="center"/>
              <w:rPr>
                <w:rFonts w:ascii="Arial" w:hAnsi="Arial"/>
                <w:b/>
                <w:sz w:val="18"/>
              </w:rPr>
            </w:pPr>
            <w:r>
              <w:rPr>
                <w:rFonts w:ascii="Arial" w:hAnsi="Arial"/>
                <w:b/>
                <w:sz w:val="18"/>
              </w:rPr>
              <w:t>70</w:t>
            </w:r>
          </w:p>
        </w:tc>
        <w:tc>
          <w:tcPr>
            <w:tcW w:w="246" w:type="pct"/>
            <w:vAlign w:val="center"/>
          </w:tcPr>
          <w:p>
            <w:pPr>
              <w:keepNext/>
              <w:keepLines/>
              <w:spacing w:after="0"/>
              <w:jc w:val="center"/>
              <w:rPr>
                <w:rFonts w:ascii="Arial" w:hAnsi="Arial"/>
                <w:b/>
                <w:sz w:val="18"/>
              </w:rPr>
            </w:pPr>
            <w:r>
              <w:rPr>
                <w:rFonts w:ascii="Arial" w:hAnsi="Arial"/>
                <w:b/>
                <w:sz w:val="18"/>
              </w:rPr>
              <w:t>80</w:t>
            </w:r>
          </w:p>
        </w:tc>
        <w:tc>
          <w:tcPr>
            <w:tcW w:w="246" w:type="pct"/>
            <w:vAlign w:val="center"/>
          </w:tcPr>
          <w:p>
            <w:pPr>
              <w:keepNext/>
              <w:keepLines/>
              <w:spacing w:after="0"/>
              <w:jc w:val="center"/>
              <w:rPr>
                <w:rFonts w:ascii="Arial" w:hAnsi="Arial"/>
                <w:b/>
                <w:sz w:val="18"/>
              </w:rPr>
            </w:pPr>
            <w:r>
              <w:rPr>
                <w:rFonts w:ascii="Arial" w:hAnsi="Arial"/>
                <w:b/>
                <w:sz w:val="18"/>
              </w:rPr>
              <w:t>90</w:t>
            </w:r>
          </w:p>
        </w:tc>
        <w:tc>
          <w:tcPr>
            <w:tcW w:w="246" w:type="pct"/>
            <w:vAlign w:val="center"/>
          </w:tcPr>
          <w:p>
            <w:pPr>
              <w:keepNext/>
              <w:keepLines/>
              <w:spacing w:after="0"/>
              <w:jc w:val="center"/>
              <w:rPr>
                <w:rFonts w:ascii="Arial" w:hAnsi="Arial"/>
                <w:b/>
                <w:sz w:val="18"/>
              </w:rPr>
            </w:pPr>
            <w:r>
              <w:rPr>
                <w:rFonts w:ascii="Arial" w:hAnsi="Arial"/>
                <w:b/>
                <w:sz w:val="18"/>
              </w:rPr>
              <w:t>100</w:t>
            </w:r>
          </w:p>
        </w:tc>
        <w:tc>
          <w:tcPr>
            <w:tcW w:w="417" w:type="pct"/>
            <w:tcBorders>
              <w:bottom w:val="single" w:color="auto" w:sz="4" w:space="0"/>
            </w:tcBorders>
            <w:shd w:val="clear" w:color="auto" w:fill="auto"/>
          </w:tcPr>
          <w:p>
            <w:pPr>
              <w:keepNext/>
              <w:keepLines/>
              <w:spacing w:after="0"/>
              <w:jc w:val="center"/>
              <w:rPr>
                <w:rFonts w:ascii="Arial" w:hAnsi="Arial"/>
                <w:b/>
                <w:sz w:val="18"/>
              </w:rPr>
            </w:pPr>
            <w:r>
              <w:rPr>
                <w:rFonts w:ascii="Arial" w:hAnsi="Arial"/>
                <w:b/>
                <w:sz w:val="18"/>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shd w:val="clear" w:color="auto" w:fill="auto"/>
          </w:tcPr>
          <w:p>
            <w:pPr>
              <w:keepNext/>
              <w:keepLines/>
              <w:spacing w:after="0"/>
              <w:jc w:val="center"/>
              <w:rPr>
                <w:rFonts w:ascii="Arial" w:hAnsi="Arial"/>
                <w:sz w:val="18"/>
              </w:rPr>
            </w:pPr>
            <w:r>
              <w:rPr>
                <w:rFonts w:hint="eastAsia" w:ascii="Arial" w:hAnsi="Arial"/>
                <w:sz w:val="18"/>
                <w:lang w:eastAsia="zh-CN"/>
              </w:rPr>
              <w:t>n1</w:t>
            </w:r>
          </w:p>
        </w:tc>
        <w:tc>
          <w:tcPr>
            <w:tcW w:w="280" w:type="pct"/>
          </w:tcPr>
          <w:p>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hint="eastAsia" w:ascii="Arial" w:hAnsi="Arial" w:cs="Arial"/>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restart"/>
            <w:shd w:val="clear" w:color="auto" w:fill="auto"/>
          </w:tcPr>
          <w:p>
            <w:pPr>
              <w:keepNext/>
              <w:keepLines/>
              <w:spacing w:after="0"/>
              <w:jc w:val="center"/>
              <w:rPr>
                <w:rFonts w:ascii="Arial" w:hAnsi="Arial"/>
                <w:sz w:val="18"/>
              </w:rPr>
            </w:pPr>
            <w:r>
              <w:rPr>
                <w:rFonts w:ascii="Arial" w:hAnsi="Arial"/>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bottom w:val="single" w:color="auto" w:sz="4" w:space="0"/>
            </w:tcBorders>
            <w:shd w:val="clear" w:color="auto" w:fill="auto"/>
          </w:tcPr>
          <w:p>
            <w:pPr>
              <w:keepNext/>
              <w:keepLines/>
              <w:spacing w:after="0"/>
              <w:jc w:val="center"/>
              <w:rPr>
                <w:rFonts w:ascii="Arial" w:hAnsi="Arial"/>
                <w:sz w:val="18"/>
              </w:rPr>
            </w:pPr>
          </w:p>
        </w:tc>
        <w:tc>
          <w:tcPr>
            <w:tcW w:w="280" w:type="pct"/>
          </w:tcPr>
          <w:p>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pPr>
              <w:keepNext/>
              <w:keepLines/>
              <w:spacing w:after="0"/>
              <w:jc w:val="center"/>
              <w:rPr>
                <w:rFonts w:ascii="Arial" w:hAnsi="Arial"/>
                <w:sz w:val="18"/>
              </w:rPr>
            </w:pPr>
          </w:p>
        </w:tc>
        <w:tc>
          <w:tcPr>
            <w:tcW w:w="230" w:type="pct"/>
            <w:shd w:val="clear" w:color="auto" w:fill="auto"/>
          </w:tcPr>
          <w:p>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pPr>
              <w:keepNext/>
              <w:keepLines/>
              <w:spacing w:after="0"/>
              <w:jc w:val="center"/>
              <w:rPr>
                <w:rFonts w:ascii="Arial" w:hAnsi="Arial"/>
                <w:sz w:val="18"/>
              </w:rPr>
            </w:pPr>
            <w:r>
              <w:rPr>
                <w:rFonts w:hint="eastAsia" w:ascii="Arial" w:hAnsi="Arial" w:cs="Arial"/>
                <w:sz w:val="18"/>
                <w:szCs w:val="18"/>
              </w:rPr>
              <w:t>18</w:t>
            </w:r>
          </w:p>
        </w:tc>
        <w:tc>
          <w:tcPr>
            <w:tcW w:w="278" w:type="pct"/>
            <w:shd w:val="clear" w:color="auto" w:fill="auto"/>
          </w:tcPr>
          <w:p>
            <w:pPr>
              <w:keepNext/>
              <w:keepLines/>
              <w:spacing w:after="0"/>
              <w:jc w:val="center"/>
              <w:rPr>
                <w:rFonts w:ascii="Arial" w:hAnsi="Arial"/>
                <w:sz w:val="18"/>
              </w:rPr>
            </w:pPr>
            <w:r>
              <w:rPr>
                <w:rFonts w:hint="eastAsia" w:ascii="Arial" w:hAnsi="Arial" w:cs="Arial"/>
                <w:sz w:val="18"/>
                <w:szCs w:val="18"/>
              </w:rPr>
              <w:t>24</w:t>
            </w: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pPr>
              <w:keepNext/>
              <w:keepLines/>
              <w:spacing w:after="0"/>
              <w:jc w:val="center"/>
              <w:rPr>
                <w:rFonts w:ascii="Arial" w:hAnsi="Arial" w:cs="Arial"/>
                <w:sz w:val="18"/>
                <w:szCs w:val="18"/>
              </w:rPr>
            </w:pPr>
          </w:p>
        </w:tc>
        <w:tc>
          <w:tcPr>
            <w:tcW w:w="278" w:type="pct"/>
            <w:shd w:val="clear" w:color="auto" w:fill="auto"/>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246" w:type="pct"/>
          </w:tcPr>
          <w:p>
            <w:pPr>
              <w:keepNext/>
              <w:keepLines/>
              <w:spacing w:after="0"/>
              <w:jc w:val="center"/>
              <w:rPr>
                <w:rFonts w:ascii="Arial" w:hAnsi="Arial"/>
                <w:sz w:val="18"/>
              </w:rPr>
            </w:pPr>
          </w:p>
        </w:tc>
        <w:tc>
          <w:tcPr>
            <w:tcW w:w="417" w:type="pct"/>
            <w:vMerge w:val="continue"/>
            <w:tcBorders>
              <w:bottom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n39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lang w:val="en-US" w:eastAsia="zh-CN"/>
              </w:rPr>
              <w:t>25</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75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val="en-US" w:eastAsia="zh-CN"/>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36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eastAsia="Malgun Gothic"/>
                <w:sz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lang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eastAsia="Malgun Gothic"/>
                <w:sz w:val="18"/>
                <w:lang w:eastAsia="zh-CN"/>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eastAsia="Malgun Gothic"/>
                <w:sz w:val="18"/>
              </w:rPr>
              <w:t>5</w:t>
            </w:r>
            <w:r>
              <w:rPr>
                <w:rFonts w:ascii="Arial" w:hAnsi="Arial" w:eastAsia="Malgun Gothic"/>
                <w:sz w:val="18"/>
                <w:lang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n78</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7</w:t>
            </w:r>
            <w:r>
              <w:rPr>
                <w:rFonts w:ascii="Arial" w:hAnsi="Arial" w:cs="Arial"/>
                <w:sz w:val="18"/>
                <w:szCs w:val="18"/>
              </w:rPr>
              <w:t>5</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10</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3</w:t>
            </w:r>
            <w:r>
              <w:rPr>
                <w:rFonts w:ascii="Arial" w:hAnsi="Arial" w:cs="Arial"/>
                <w:sz w:val="18"/>
                <w:szCs w:val="18"/>
              </w:rPr>
              <w:t>6</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5</w:t>
            </w:r>
            <w:r>
              <w:rPr>
                <w:rFonts w:ascii="Arial" w:hAnsi="Arial" w:cs="Arial"/>
                <w:sz w:val="18"/>
                <w:szCs w:val="18"/>
              </w:rPr>
              <w:t>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r>
              <w:rPr>
                <w:rFonts w:ascii="Arial" w:hAnsi="Arial"/>
                <w:sz w:val="18"/>
              </w:rPr>
              <w:t>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21</w:t>
            </w:r>
            <w:r>
              <w:rPr>
                <w:rFonts w:ascii="Arial" w:hAnsi="Arial"/>
                <w:sz w:val="18"/>
              </w:rPr>
              <w:t>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27</w:t>
            </w:r>
            <w:r>
              <w:rPr>
                <w:rFonts w:ascii="Arial" w:hAnsi="Arial"/>
                <w:sz w:val="18"/>
              </w:rPr>
              <w:t>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18</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hint="eastAsia"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hint="eastAsia" w:ascii="Arial" w:hAnsi="Arial"/>
                <w:sz w:val="18"/>
                <w:lang w:val="en-US" w:eastAsia="zh-CN"/>
              </w:rPr>
              <w:t>5</w:t>
            </w:r>
            <w:r>
              <w:rPr>
                <w:rFonts w:ascii="Arial" w:hAnsi="Arial"/>
                <w:sz w:val="18"/>
                <w:lang w:val="en-US" w:eastAsia="zh-CN"/>
              </w:rPr>
              <w:t>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6</w:t>
            </w:r>
            <w:r>
              <w:rPr>
                <w:rFonts w:ascii="Arial" w:hAnsi="Arial"/>
                <w:sz w:val="18"/>
              </w:rPr>
              <w:t>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7</w:t>
            </w:r>
            <w:r>
              <w:rPr>
                <w:rFonts w:ascii="Arial" w:hAnsi="Arial"/>
                <w:sz w:val="18"/>
              </w:rPr>
              <w:t>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10</w:t>
            </w:r>
            <w:r>
              <w:rPr>
                <w:rFonts w:ascii="Arial" w:hAnsi="Arial"/>
                <w:sz w:val="18"/>
              </w:rPr>
              <w:t>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ascii="Arial" w:hAnsi="Arial"/>
                <w:sz w:val="18"/>
              </w:rPr>
              <w:t>n79</w:t>
            </w: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15</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417" w:type="pct"/>
            <w:vMerge w:val="restart"/>
            <w:tcBorders>
              <w:top w:val="nil"/>
              <w:left w:val="single" w:color="auto" w:sz="4" w:space="0"/>
              <w:right w:val="single" w:color="auto" w:sz="4" w:space="0"/>
            </w:tcBorders>
            <w:shd w:val="clear" w:color="auto" w:fill="auto"/>
          </w:tcPr>
          <w:p>
            <w:pPr>
              <w:keepNext/>
              <w:keepLines/>
              <w:spacing w:after="0"/>
              <w:jc w:val="center"/>
              <w:rPr>
                <w:rFonts w:ascii="Arial" w:hAnsi="Arial"/>
                <w:sz w:val="18"/>
              </w:rPr>
            </w:pPr>
            <w:r>
              <w:rPr>
                <w:rFonts w:hint="eastAsia" w:ascii="Arial" w:hAnsi="Arial"/>
                <w:sz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128</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162</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180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216</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243</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270</w:t>
            </w:r>
          </w:p>
        </w:tc>
        <w:tc>
          <w:tcPr>
            <w:tcW w:w="417" w:type="pct"/>
            <w:vMerge w:val="continue"/>
            <w:tcBorders>
              <w:left w:val="single" w:color="auto" w:sz="4" w:space="0"/>
              <w:right w:val="single" w:color="auto" w:sz="4" w:space="0"/>
            </w:tcBorders>
            <w:shd w:val="clear" w:color="auto" w:fill="auto"/>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508"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80"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60</w:t>
            </w:r>
          </w:p>
        </w:tc>
        <w:tc>
          <w:tcPr>
            <w:tcW w:w="212"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val="en-US" w:eastAsia="zh-CN"/>
              </w:rPr>
            </w:pPr>
          </w:p>
        </w:tc>
        <w:tc>
          <w:tcPr>
            <w:tcW w:w="278" w:type="pct"/>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78"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64</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75</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90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246"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135</w:t>
            </w:r>
          </w:p>
        </w:tc>
        <w:tc>
          <w:tcPr>
            <w:tcW w:w="417" w:type="pct"/>
            <w:vMerge w:val="continue"/>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rPr>
            </w:pPr>
          </w:p>
        </w:tc>
      </w:tr>
    </w:tbl>
    <w:p/>
    <w:p>
      <w:pPr>
        <w:pStyle w:val="5"/>
        <w:spacing w:after="0"/>
        <w:ind w:left="0" w:firstLine="0"/>
      </w:pPr>
      <w:bookmarkStart w:id="1103" w:name="_Toc24663"/>
      <w:bookmarkStart w:id="1104" w:name="_Toc863"/>
      <w:bookmarkStart w:id="1105" w:name="_Toc23473"/>
      <w:bookmarkStart w:id="1106" w:name="_Toc133498159"/>
      <w:bookmarkStart w:id="1107" w:name="_Toc23157"/>
      <w:bookmarkStart w:id="1108" w:name="_Toc10461"/>
      <w:bookmarkStart w:id="1109" w:name="_Toc10515"/>
      <w:bookmarkStart w:id="1110" w:name="_Toc10375"/>
      <w:bookmarkStart w:id="1111" w:name="_Toc5619"/>
      <w:bookmarkStart w:id="1112" w:name="_Toc23404"/>
      <w:r>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1103"/>
      <w:bookmarkEnd w:id="1104"/>
      <w:bookmarkEnd w:id="1105"/>
      <w:bookmarkEnd w:id="1106"/>
      <w:bookmarkEnd w:id="1107"/>
      <w:bookmarkEnd w:id="1108"/>
      <w:bookmarkEnd w:id="1109"/>
      <w:bookmarkEnd w:id="1110"/>
      <w:bookmarkEnd w:id="1111"/>
      <w:bookmarkEnd w:id="1112"/>
    </w:p>
    <w:p>
      <w:pPr>
        <w:jc w:val="both"/>
        <w:rPr>
          <w:rFonts w:eastAsia="宋体"/>
          <w:highlight w:val="none"/>
          <w:lang w:val="en-US" w:eastAsia="zh-CN"/>
        </w:rPr>
      </w:pPr>
      <w:r>
        <w:rPr>
          <w:rFonts w:eastAsia="宋体"/>
          <w:highlight w:val="none"/>
          <w:lang w:eastAsia="zh-CN"/>
        </w:rPr>
        <w:t xml:space="preserve">The calculation and results for maximum input level are listed in Table </w:t>
      </w:r>
      <w:r>
        <w:rPr>
          <w:highlight w:val="none"/>
        </w:rPr>
        <w:t>7.1.3.4-1</w:t>
      </w:r>
      <w:r>
        <w:rPr>
          <w:rFonts w:eastAsia="宋体"/>
          <w:highlight w:val="none"/>
          <w:lang w:eastAsia="zh-CN"/>
        </w:rPr>
        <w:t>. The maximum input level is a compromise of the theoretical worst-case which assumes the 5 dBi UE element gain under the condition that the ATG UE antenna and BS antenna are not directly pointing to each other.</w:t>
      </w:r>
    </w:p>
    <w:p>
      <w:pPr>
        <w:pStyle w:val="28"/>
        <w:keepNext/>
        <w:jc w:val="center"/>
        <w:rPr>
          <w:rFonts w:ascii="Arial" w:hAnsi="Arial" w:cs="Arial"/>
          <w:highlight w:val="none"/>
        </w:rPr>
      </w:pPr>
      <w:r>
        <w:rPr>
          <w:rFonts w:ascii="Arial" w:hAnsi="Arial" w:cs="Arial"/>
          <w:highlight w:val="none"/>
        </w:rPr>
        <w:t>Table 7.1.3.4-1 the calculation for maximum input level requirements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2"/>
        <w:gridCol w:w="2266"/>
        <w:gridCol w:w="1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rFonts w:eastAsia="宋体"/>
                <w:highlight w:val="none"/>
                <w:lang w:val="en-US" w:eastAsia="zh-CN"/>
              </w:rPr>
              <w:t>Parameters</w:t>
            </w:r>
          </w:p>
        </w:tc>
        <w:tc>
          <w:tcPr>
            <w:tcW w:w="0" w:type="auto"/>
            <w:shd w:val="clear" w:color="auto" w:fill="auto"/>
            <w:noWrap/>
            <w:vAlign w:val="center"/>
          </w:tcPr>
          <w:p>
            <w:pPr>
              <w:spacing w:after="0"/>
              <w:jc w:val="center"/>
              <w:rPr>
                <w:rFonts w:eastAsia="宋体"/>
                <w:highlight w:val="none"/>
                <w:lang w:val="en-US" w:eastAsia="zh-CN"/>
              </w:rPr>
            </w:pPr>
            <w:r>
              <w:rPr>
                <w:rFonts w:eastAsia="宋体"/>
                <w:highlight w:val="none"/>
                <w:lang w:val="en-US" w:eastAsia="zh-CN"/>
              </w:rPr>
              <w:t>Omni-directional antenna</w:t>
            </w:r>
          </w:p>
        </w:tc>
        <w:tc>
          <w:tcPr>
            <w:tcW w:w="0" w:type="auto"/>
            <w:shd w:val="clear" w:color="auto" w:fill="auto"/>
            <w:noWrap/>
            <w:vAlign w:val="center"/>
          </w:tcPr>
          <w:p>
            <w:pPr>
              <w:spacing w:after="0"/>
              <w:jc w:val="center"/>
              <w:rPr>
                <w:rFonts w:eastAsia="宋体"/>
                <w:highlight w:val="none"/>
                <w:lang w:val="en-US" w:eastAsia="zh-CN"/>
              </w:rPr>
            </w:pPr>
            <w:r>
              <w:rPr>
                <w:rFonts w:eastAsia="宋体"/>
                <w:highlight w:val="none"/>
                <w:lang w:val="en-US" w:eastAsia="zh-CN"/>
              </w:rPr>
              <w:t>phased array antenna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Center frequency GHz</w:t>
            </w:r>
          </w:p>
        </w:tc>
        <w:tc>
          <w:tcPr>
            <w:tcW w:w="0" w:type="auto"/>
            <w:shd w:val="clear" w:color="auto" w:fill="auto"/>
            <w:noWrap/>
            <w:vAlign w:val="center"/>
          </w:tcPr>
          <w:p>
            <w:pPr>
              <w:spacing w:after="0"/>
              <w:jc w:val="center"/>
              <w:rPr>
                <w:rFonts w:eastAsia="宋体"/>
                <w:highlight w:val="none"/>
                <w:lang w:val="en-US" w:eastAsia="zh-CN"/>
              </w:rPr>
            </w:pPr>
            <w:r>
              <w:rPr>
                <w:highlight w:val="none"/>
              </w:rPr>
              <w:t>2</w:t>
            </w:r>
          </w:p>
        </w:tc>
        <w:tc>
          <w:tcPr>
            <w:tcW w:w="0" w:type="auto"/>
            <w:shd w:val="clear" w:color="auto" w:fill="auto"/>
            <w:noWrap/>
            <w:vAlign w:val="center"/>
          </w:tcPr>
          <w:p>
            <w:pPr>
              <w:spacing w:after="0"/>
              <w:jc w:val="center"/>
              <w:rPr>
                <w:rFonts w:eastAsia="宋体"/>
                <w:highlight w:val="none"/>
                <w:lang w:val="en-US" w:eastAsia="zh-CN"/>
              </w:rPr>
            </w:pPr>
            <w:r>
              <w:rPr>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Distance meter</w:t>
            </w:r>
          </w:p>
        </w:tc>
        <w:tc>
          <w:tcPr>
            <w:tcW w:w="0" w:type="auto"/>
            <w:shd w:val="clear" w:color="auto" w:fill="auto"/>
            <w:noWrap/>
            <w:vAlign w:val="center"/>
          </w:tcPr>
          <w:p>
            <w:pPr>
              <w:spacing w:after="0"/>
              <w:jc w:val="center"/>
              <w:rPr>
                <w:rFonts w:eastAsia="宋体"/>
                <w:highlight w:val="none"/>
                <w:lang w:val="en-US" w:eastAsia="zh-CN"/>
              </w:rPr>
            </w:pPr>
            <w:r>
              <w:rPr>
                <w:highlight w:val="none"/>
              </w:rPr>
              <w:t>3000</w:t>
            </w:r>
          </w:p>
        </w:tc>
        <w:tc>
          <w:tcPr>
            <w:tcW w:w="0" w:type="auto"/>
            <w:shd w:val="clear" w:color="auto" w:fill="auto"/>
            <w:noWrap/>
            <w:vAlign w:val="center"/>
          </w:tcPr>
          <w:p>
            <w:pPr>
              <w:spacing w:after="0"/>
              <w:jc w:val="center"/>
              <w:rPr>
                <w:rFonts w:eastAsia="宋体"/>
                <w:highlight w:val="none"/>
                <w:lang w:val="en-US" w:eastAsia="zh-CN"/>
              </w:rPr>
            </w:pPr>
            <w:r>
              <w:rPr>
                <w:highlight w:val="none"/>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Pathloss dB</w:t>
            </w:r>
          </w:p>
        </w:tc>
        <w:tc>
          <w:tcPr>
            <w:tcW w:w="0" w:type="auto"/>
            <w:shd w:val="clear" w:color="auto" w:fill="auto"/>
            <w:noWrap/>
            <w:vAlign w:val="center"/>
          </w:tcPr>
          <w:p>
            <w:pPr>
              <w:spacing w:after="0"/>
              <w:jc w:val="center"/>
              <w:rPr>
                <w:rFonts w:eastAsia="宋体"/>
                <w:highlight w:val="none"/>
                <w:lang w:val="en-US" w:eastAsia="zh-CN"/>
              </w:rPr>
            </w:pPr>
            <w:r>
              <w:rPr>
                <w:highlight w:val="none"/>
              </w:rPr>
              <w:t>108.063</w:t>
            </w:r>
          </w:p>
        </w:tc>
        <w:tc>
          <w:tcPr>
            <w:tcW w:w="0" w:type="auto"/>
            <w:shd w:val="clear" w:color="auto" w:fill="auto"/>
            <w:noWrap/>
            <w:vAlign w:val="center"/>
          </w:tcPr>
          <w:p>
            <w:pPr>
              <w:spacing w:after="0"/>
              <w:jc w:val="center"/>
              <w:rPr>
                <w:rFonts w:eastAsia="宋体"/>
                <w:highlight w:val="none"/>
                <w:lang w:val="en-US" w:eastAsia="zh-CN"/>
              </w:rPr>
            </w:pPr>
            <w:r>
              <w:rPr>
                <w:highlight w:val="none"/>
              </w:rPr>
              <w:t>114.0836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ATG BS output power dBm</w:t>
            </w:r>
          </w:p>
        </w:tc>
        <w:tc>
          <w:tcPr>
            <w:tcW w:w="0" w:type="auto"/>
            <w:shd w:val="clear" w:color="auto" w:fill="auto"/>
            <w:noWrap/>
            <w:vAlign w:val="center"/>
          </w:tcPr>
          <w:p>
            <w:pPr>
              <w:spacing w:after="0"/>
              <w:jc w:val="center"/>
              <w:rPr>
                <w:rFonts w:eastAsia="宋体"/>
                <w:highlight w:val="none"/>
                <w:lang w:val="en-US" w:eastAsia="zh-CN"/>
              </w:rPr>
            </w:pPr>
            <w:r>
              <w:rPr>
                <w:highlight w:val="none"/>
              </w:rPr>
              <w:t>46</w:t>
            </w:r>
          </w:p>
        </w:tc>
        <w:tc>
          <w:tcPr>
            <w:tcW w:w="0" w:type="auto"/>
            <w:shd w:val="clear" w:color="auto" w:fill="auto"/>
            <w:noWrap/>
            <w:vAlign w:val="center"/>
          </w:tcPr>
          <w:p>
            <w:pPr>
              <w:spacing w:after="0"/>
              <w:jc w:val="center"/>
              <w:rPr>
                <w:rFonts w:eastAsia="宋体"/>
                <w:highlight w:val="none"/>
                <w:lang w:val="en-US" w:eastAsia="zh-CN"/>
              </w:rPr>
            </w:pPr>
            <w:r>
              <w:rPr>
                <w:highlight w:val="none"/>
              </w:rP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ATG BS antenna gain</w:t>
            </w:r>
          </w:p>
        </w:tc>
        <w:tc>
          <w:tcPr>
            <w:tcW w:w="0" w:type="auto"/>
            <w:shd w:val="clear" w:color="auto" w:fill="auto"/>
            <w:noWrap/>
            <w:vAlign w:val="center"/>
          </w:tcPr>
          <w:p>
            <w:pPr>
              <w:spacing w:after="0"/>
              <w:jc w:val="center"/>
              <w:rPr>
                <w:rFonts w:eastAsia="宋体"/>
                <w:highlight w:val="none"/>
                <w:lang w:val="en-US" w:eastAsia="zh-CN"/>
              </w:rPr>
            </w:pPr>
            <w:r>
              <w:rPr>
                <w:highlight w:val="none"/>
              </w:rPr>
              <w:t>21</w:t>
            </w:r>
          </w:p>
        </w:tc>
        <w:tc>
          <w:tcPr>
            <w:tcW w:w="0" w:type="auto"/>
            <w:shd w:val="clear" w:color="auto" w:fill="auto"/>
            <w:noWrap/>
            <w:vAlign w:val="center"/>
          </w:tcPr>
          <w:p>
            <w:pPr>
              <w:spacing w:after="0"/>
              <w:jc w:val="center"/>
              <w:rPr>
                <w:rFonts w:eastAsia="宋体"/>
                <w:highlight w:val="none"/>
                <w:lang w:val="en-US" w:eastAsia="zh-CN"/>
              </w:rPr>
            </w:pPr>
            <w:r>
              <w:rPr>
                <w:highlight w:val="none"/>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ATG UE element gain</w:t>
            </w:r>
          </w:p>
        </w:tc>
        <w:tc>
          <w:tcPr>
            <w:tcW w:w="0" w:type="auto"/>
            <w:shd w:val="clear" w:color="auto" w:fill="auto"/>
            <w:noWrap/>
            <w:vAlign w:val="center"/>
          </w:tcPr>
          <w:p>
            <w:pPr>
              <w:spacing w:after="0"/>
              <w:jc w:val="center"/>
              <w:rPr>
                <w:rFonts w:eastAsia="宋体"/>
                <w:highlight w:val="none"/>
                <w:lang w:val="en-US" w:eastAsia="zh-CN"/>
              </w:rPr>
            </w:pPr>
            <w:r>
              <w:rPr>
                <w:highlight w:val="none"/>
              </w:rPr>
              <w:t>0</w:t>
            </w:r>
          </w:p>
        </w:tc>
        <w:tc>
          <w:tcPr>
            <w:tcW w:w="0" w:type="auto"/>
            <w:shd w:val="clear" w:color="auto" w:fill="auto"/>
            <w:noWrap/>
            <w:vAlign w:val="center"/>
          </w:tcPr>
          <w:p>
            <w:pPr>
              <w:spacing w:after="0"/>
              <w:jc w:val="center"/>
              <w:rPr>
                <w:rFonts w:eastAsia="宋体"/>
                <w:highlight w:val="none"/>
                <w:lang w:val="en-US" w:eastAsia="zh-CN"/>
              </w:rPr>
            </w:pPr>
            <w:r>
              <w:rPr>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p>
        </w:tc>
        <w:tc>
          <w:tcPr>
            <w:tcW w:w="0" w:type="auto"/>
            <w:shd w:val="clear" w:color="auto" w:fill="auto"/>
            <w:noWrap/>
            <w:vAlign w:val="center"/>
          </w:tcPr>
          <w:p>
            <w:pPr>
              <w:spacing w:after="0"/>
              <w:jc w:val="center"/>
              <w:rPr>
                <w:rFonts w:eastAsia="宋体"/>
                <w:highlight w:val="none"/>
                <w:lang w:val="en-US" w:eastAsia="zh-CN"/>
              </w:rPr>
            </w:pPr>
          </w:p>
        </w:tc>
        <w:tc>
          <w:tcPr>
            <w:tcW w:w="0" w:type="auto"/>
            <w:shd w:val="clear" w:color="auto" w:fill="auto"/>
            <w:noWrap/>
            <w:vAlign w:val="center"/>
          </w:tcPr>
          <w:p>
            <w:pPr>
              <w:spacing w:after="0"/>
              <w:jc w:val="center"/>
              <w:rPr>
                <w:rFonts w:eastAsia="宋体"/>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pPr>
              <w:spacing w:after="0"/>
              <w:jc w:val="center"/>
              <w:rPr>
                <w:rFonts w:eastAsia="宋体"/>
                <w:highlight w:val="none"/>
                <w:lang w:val="en-US" w:eastAsia="zh-CN"/>
              </w:rPr>
            </w:pPr>
            <w:r>
              <w:rPr>
                <w:highlight w:val="none"/>
              </w:rPr>
              <w:t>maximum input level dBm</w:t>
            </w:r>
          </w:p>
        </w:tc>
        <w:tc>
          <w:tcPr>
            <w:tcW w:w="0" w:type="auto"/>
            <w:shd w:val="clear" w:color="auto" w:fill="auto"/>
            <w:noWrap/>
            <w:vAlign w:val="center"/>
          </w:tcPr>
          <w:p>
            <w:pPr>
              <w:spacing w:after="0"/>
              <w:jc w:val="center"/>
              <w:rPr>
                <w:rFonts w:eastAsia="宋体"/>
                <w:highlight w:val="none"/>
                <w:lang w:val="en-US" w:eastAsia="zh-CN"/>
              </w:rPr>
            </w:pPr>
            <w:r>
              <w:rPr>
                <w:highlight w:val="none"/>
              </w:rPr>
              <w:t>-42.063</w:t>
            </w:r>
          </w:p>
        </w:tc>
        <w:tc>
          <w:tcPr>
            <w:tcW w:w="0" w:type="auto"/>
            <w:shd w:val="clear" w:color="auto" w:fill="auto"/>
            <w:noWrap/>
            <w:vAlign w:val="center"/>
          </w:tcPr>
          <w:p>
            <w:pPr>
              <w:spacing w:after="0"/>
              <w:jc w:val="center"/>
              <w:rPr>
                <w:rFonts w:eastAsia="宋体"/>
                <w:lang w:val="en-US" w:eastAsia="zh-CN"/>
              </w:rPr>
            </w:pPr>
            <w:r>
              <w:rPr>
                <w:highlight w:val="none"/>
              </w:rPr>
              <w:t>-35.0836</w:t>
            </w:r>
          </w:p>
        </w:tc>
      </w:tr>
    </w:tbl>
    <w:p>
      <w:pPr>
        <w:jc w:val="both"/>
        <w:rPr>
          <w:rFonts w:cs="v5.0.0"/>
        </w:rPr>
      </w:pPr>
    </w:p>
    <w:p>
      <w:pPr>
        <w:jc w:val="both"/>
      </w:pPr>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For ATG, the maximum input level requirements are defined in Table 7.1.3.4-2 based on two types of UE</w:t>
      </w:r>
      <w:r>
        <w:rPr>
          <w:rFonts w:cs="v5.0.0"/>
        </w:rPr>
        <w:t xml:space="preserve"> antenna, i.e., omni-directional antenna and phased array antenna.</w:t>
      </w:r>
    </w:p>
    <w:p>
      <w:pPr>
        <w:pStyle w:val="76"/>
      </w:pPr>
      <w:r>
        <w:t>Table 7.1.3.4-2: Maximum input level for ATG</w:t>
      </w:r>
    </w:p>
    <w:tbl>
      <w:tblPr>
        <w:tblStyle w:val="49"/>
        <w:tblW w:w="9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709"/>
        <w:gridCol w:w="2126"/>
        <w:gridCol w:w="2694"/>
        <w:gridCol w:w="26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pPr>
              <w:keepNext/>
              <w:keepLines/>
              <w:spacing w:after="0"/>
              <w:jc w:val="center"/>
              <w:rPr>
                <w:rFonts w:ascii="Arial" w:hAnsi="Arial" w:cs="Arial" w:eastAsiaTheme="minorEastAsia"/>
                <w:b/>
                <w:sz w:val="18"/>
                <w:lang w:eastAsia="zh-CN"/>
              </w:rPr>
            </w:pPr>
            <w:r>
              <w:rPr>
                <w:rFonts w:hint="eastAsia" w:ascii="Arial" w:hAnsi="Arial" w:cs="Arial" w:eastAsiaTheme="minorEastAsia"/>
                <w:b/>
                <w:sz w:val="18"/>
                <w:lang w:eastAsia="zh-CN"/>
              </w:rPr>
              <w:t>A</w:t>
            </w:r>
            <w:r>
              <w:rPr>
                <w:rFonts w:ascii="Arial" w:hAnsi="Arial" w:cs="Arial" w:eastAsiaTheme="minorEastAsia"/>
                <w:b/>
                <w:sz w:val="18"/>
                <w:lang w:eastAsia="zh-CN"/>
              </w:rPr>
              <w:t>TG UE Types</w:t>
            </w:r>
          </w:p>
        </w:tc>
        <w:tc>
          <w:tcPr>
            <w:tcW w:w="2692" w:type="dxa"/>
            <w:vMerge w:val="restart"/>
            <w:shd w:val="clear" w:color="auto" w:fill="auto"/>
            <w:vAlign w:val="center"/>
          </w:tcPr>
          <w:p>
            <w:pPr>
              <w:keepNext/>
              <w:keepLines/>
              <w:spacing w:after="0"/>
              <w:jc w:val="center"/>
              <w:rPr>
                <w:rFonts w:ascii="Arial" w:hAnsi="Arial" w:cs="Arial"/>
                <w:b/>
                <w:sz w:val="18"/>
              </w:rPr>
            </w:pPr>
            <w:r>
              <w:rPr>
                <w:rFonts w:ascii="Arial" w:hAnsi="Arial" w:cs="Arial"/>
                <w:b/>
                <w:sz w:val="18"/>
              </w:rPr>
              <w:t>Reference measurement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vMerge w:val="continue"/>
            <w:tcBorders>
              <w:bottom w:val="single" w:color="auto" w:sz="4" w:space="0"/>
            </w:tcBorders>
            <w:shd w:val="clear" w:color="auto" w:fill="auto"/>
            <w:vAlign w:val="center"/>
          </w:tcPr>
          <w:p>
            <w:pPr>
              <w:keepNext/>
              <w:keepLines/>
              <w:spacing w:after="0"/>
              <w:jc w:val="center"/>
              <w:rPr>
                <w:rFonts w:ascii="Arial" w:hAnsi="Arial" w:cs="Arial"/>
                <w:b/>
                <w:sz w:val="18"/>
              </w:rPr>
            </w:pPr>
          </w:p>
        </w:tc>
        <w:tc>
          <w:tcPr>
            <w:tcW w:w="709" w:type="dxa"/>
            <w:vMerge w:val="continue"/>
            <w:tcBorders>
              <w:bottom w:val="single" w:color="auto" w:sz="4" w:space="0"/>
            </w:tcBorders>
            <w:shd w:val="clear" w:color="auto" w:fill="auto"/>
            <w:vAlign w:val="center"/>
          </w:tcPr>
          <w:p>
            <w:pPr>
              <w:keepNext/>
              <w:keepLines/>
              <w:spacing w:after="0"/>
              <w:jc w:val="center"/>
              <w:rPr>
                <w:rFonts w:ascii="Arial" w:hAnsi="Arial" w:cs="Arial"/>
                <w:b/>
                <w:sz w:val="18"/>
              </w:rPr>
            </w:pPr>
          </w:p>
        </w:tc>
        <w:tc>
          <w:tcPr>
            <w:tcW w:w="2126" w:type="dxa"/>
            <w:shd w:val="clear" w:color="auto" w:fill="auto"/>
            <w:vAlign w:val="center"/>
          </w:tcPr>
          <w:p>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val="continue"/>
            <w:shd w:val="clear" w:color="auto" w:fill="auto"/>
          </w:tcPr>
          <w:p>
            <w:pPr>
              <w:keepNext/>
              <w:keepLines/>
              <w:spacing w:after="0"/>
              <w:jc w:val="center"/>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bottom w:val="nil"/>
            </w:tcBorders>
            <w:shd w:val="clear" w:color="auto" w:fill="auto"/>
            <w:vAlign w:val="center"/>
          </w:tcPr>
          <w:p>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pPr>
              <w:keepNext/>
              <w:keepLines/>
              <w:spacing w:after="0"/>
              <w:jc w:val="center"/>
              <w:rPr>
                <w:rFonts w:ascii="Arial" w:hAnsi="Arial" w:cs="Arial"/>
                <w:sz w:val="18"/>
              </w:rPr>
            </w:pPr>
            <w:r>
              <w:rPr>
                <w:rFonts w:ascii="Arial" w:hAnsi="Arial" w:cs="Arial"/>
                <w:sz w:val="18"/>
              </w:rPr>
              <w:t>A.3.2.3 or A.3.3.3 for 64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top w:val="nil"/>
            </w:tcBorders>
            <w:shd w:val="clear" w:color="auto" w:fill="auto"/>
            <w:vAlign w:val="center"/>
          </w:tcPr>
          <w:p>
            <w:pPr>
              <w:keepNext/>
              <w:keepLines/>
              <w:spacing w:after="0"/>
              <w:jc w:val="center"/>
              <w:rPr>
                <w:rFonts w:ascii="Arial" w:hAnsi="Arial" w:cs="Arial"/>
                <w:sz w:val="18"/>
              </w:rPr>
            </w:pPr>
          </w:p>
        </w:tc>
        <w:tc>
          <w:tcPr>
            <w:tcW w:w="709" w:type="dxa"/>
            <w:tcBorders>
              <w:top w:val="nil"/>
            </w:tcBorders>
            <w:shd w:val="clear" w:color="auto" w:fill="auto"/>
            <w:vAlign w:val="center"/>
          </w:tcPr>
          <w:p>
            <w:pPr>
              <w:keepNext/>
              <w:keepLines/>
              <w:spacing w:after="0"/>
              <w:jc w:val="center"/>
              <w:rPr>
                <w:rFonts w:ascii="Arial" w:hAnsi="Arial" w:cs="Arial"/>
                <w:sz w:val="18"/>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cs="Arial"/>
                <w:sz w:val="18"/>
                <w:szCs w:val="18"/>
              </w:rPr>
            </w:pPr>
            <w:r>
              <w:rPr>
                <w:rFonts w:ascii="Arial" w:hAnsi="Arial" w:cs="Arial"/>
                <w:sz w:val="18"/>
                <w:szCs w:val="18"/>
              </w:rPr>
              <w:t>A.3.2.4 or A.3.3.4 for 256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Borders>
              <w:top w:val="nil"/>
            </w:tcBorders>
            <w:shd w:val="clear" w:color="auto" w:fill="auto"/>
            <w:vAlign w:val="center"/>
          </w:tcPr>
          <w:p>
            <w:pPr>
              <w:keepNext/>
              <w:keepLines/>
              <w:spacing w:after="0"/>
              <w:jc w:val="center"/>
              <w:rPr>
                <w:rFonts w:ascii="Arial" w:hAnsi="Arial" w:cs="Arial" w:eastAsiaTheme="minorEastAsia"/>
                <w:sz w:val="18"/>
                <w:lang w:eastAsia="zh-CN"/>
              </w:rPr>
            </w:pPr>
            <w:r>
              <w:rPr>
                <w:rFonts w:hint="eastAsia" w:ascii="Arial" w:hAnsi="Arial" w:cs="Arial" w:eastAsiaTheme="minorEastAsia"/>
                <w:sz w:val="18"/>
                <w:lang w:eastAsia="zh-CN"/>
              </w:rPr>
              <w:t>T</w:t>
            </w:r>
            <w:r>
              <w:rPr>
                <w:rFonts w:ascii="Arial" w:hAnsi="Arial" w:cs="Arial" w:eastAsiaTheme="minorEastAsia"/>
                <w:sz w:val="18"/>
                <w:lang w:eastAsia="zh-CN"/>
              </w:rPr>
              <w:t>he applicable channel bandwidths</w:t>
            </w:r>
          </w:p>
        </w:tc>
        <w:tc>
          <w:tcPr>
            <w:tcW w:w="709" w:type="dxa"/>
            <w:tcBorders>
              <w:top w:val="nil"/>
            </w:tcBorders>
            <w:shd w:val="clear" w:color="auto" w:fill="auto"/>
            <w:vAlign w:val="center"/>
          </w:tcPr>
          <w:p>
            <w:pPr>
              <w:keepNext/>
              <w:keepLines/>
              <w:spacing w:after="0"/>
              <w:jc w:val="center"/>
              <w:rPr>
                <w:rFonts w:ascii="Arial" w:hAnsi="Arial" w:cs="Arial" w:eastAsiaTheme="minorEastAsia"/>
                <w:sz w:val="18"/>
                <w:lang w:eastAsia="zh-CN"/>
              </w:rPr>
            </w:pPr>
            <w:r>
              <w:rPr>
                <w:rFonts w:hint="eastAsia" w:ascii="Arial" w:hAnsi="Arial" w:cs="Arial" w:eastAsiaTheme="minorEastAsia"/>
                <w:sz w:val="18"/>
                <w:lang w:eastAsia="zh-CN"/>
              </w:rPr>
              <w:t>M</w:t>
            </w:r>
            <w:r>
              <w:rPr>
                <w:rFonts w:ascii="Arial" w:hAnsi="Arial" w:cs="Arial" w:eastAsiaTheme="minorEastAsia"/>
                <w:sz w:val="18"/>
                <w:lang w:eastAsia="zh-CN"/>
              </w:rPr>
              <w:t>Hz</w:t>
            </w:r>
          </w:p>
        </w:tc>
        <w:tc>
          <w:tcPr>
            <w:tcW w:w="751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cs="Arial"/>
                <w:sz w:val="18"/>
              </w:rPr>
            </w:pPr>
            <w:r>
              <w:rPr>
                <w:rFonts w:ascii="Arial" w:hAnsi="Arial" w:cs="Arial"/>
                <w:sz w:val="18"/>
              </w:rPr>
              <w:t>5, 10, 15, 20, 25, 30, 35, 40, 45, 50, 60, 70, 80, 90, 100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9917" w:type="dxa"/>
            <w:gridSpan w:val="5"/>
            <w:shd w:val="clear" w:color="auto" w:fill="auto"/>
          </w:tcPr>
          <w:p>
            <w:pPr>
              <w:pStyle w:val="81"/>
            </w:pPr>
            <w:r>
              <w:t>NOTE 1:</w:t>
            </w:r>
            <w:r>
              <w:tab/>
            </w:r>
            <w:r>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p>
      <w:pPr>
        <w:pStyle w:val="5"/>
        <w:spacing w:after="0"/>
        <w:ind w:left="0" w:firstLine="0"/>
      </w:pPr>
      <w:bookmarkStart w:id="1113" w:name="_Toc14805"/>
      <w:bookmarkStart w:id="1114" w:name="_Toc20996"/>
      <w:bookmarkStart w:id="1115" w:name="_Toc10644"/>
      <w:bookmarkStart w:id="1116" w:name="_Toc133498160"/>
      <w:bookmarkStart w:id="1117" w:name="_Toc27932"/>
      <w:bookmarkStart w:id="1118" w:name="_Toc30727"/>
      <w:bookmarkStart w:id="1119" w:name="_Toc19989"/>
      <w:bookmarkStart w:id="1120" w:name="_Toc5762"/>
      <w:bookmarkStart w:id="1121" w:name="_Toc30355"/>
      <w:bookmarkStart w:id="1122" w:name="_Toc2521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1113"/>
      <w:bookmarkEnd w:id="1114"/>
      <w:bookmarkEnd w:id="1115"/>
      <w:bookmarkEnd w:id="1116"/>
      <w:bookmarkEnd w:id="1117"/>
      <w:bookmarkEnd w:id="1118"/>
      <w:bookmarkEnd w:id="1119"/>
      <w:bookmarkEnd w:id="1120"/>
      <w:bookmarkEnd w:id="1121"/>
      <w:bookmarkEnd w:id="1122"/>
    </w:p>
    <w:p>
      <w:pPr>
        <w:spacing w:before="150" w:after="150"/>
        <w:ind w:right="300"/>
        <w:jc w:val="both"/>
        <w:rPr>
          <w:rFonts w:eastAsia="宋体"/>
          <w:szCs w:val="22"/>
          <w:lang w:eastAsia="zh-CN"/>
        </w:rPr>
      </w:pPr>
      <w:r>
        <w:rPr>
          <w:rFonts w:eastAsia="宋体"/>
          <w:szCs w:val="22"/>
          <w:lang w:eastAsia="zh-CN"/>
        </w:rPr>
        <w:t>For ACS, the coexistence studies outcome shows that the legacy ACS values as for NR FR1 UE are appropriate, and therefore reused.</w:t>
      </w:r>
    </w:p>
    <w:p>
      <w:pPr>
        <w:rPr>
          <w:szCs w:val="22"/>
          <w:lang w:eastAsia="zh-TW"/>
        </w:rPr>
      </w:pPr>
      <w:r>
        <w:rPr>
          <w:rFonts w:eastAsia="宋体"/>
          <w:szCs w:val="22"/>
          <w:lang w:eastAsia="zh-CN"/>
        </w:rPr>
        <w:t xml:space="preserve">The legacy </w:t>
      </w:r>
      <w:r>
        <w:rPr>
          <w:rFonts w:hint="eastAsia" w:eastAsia="宋体"/>
          <w:szCs w:val="22"/>
          <w:lang w:eastAsia="zh-CN"/>
        </w:rPr>
        <w:t xml:space="preserve">ACS </w:t>
      </w:r>
      <w:r>
        <w:rPr>
          <w:rFonts w:eastAsia="宋体"/>
          <w:szCs w:val="22"/>
          <w:lang w:eastAsia="zh-CN"/>
        </w:rPr>
        <w:t xml:space="preserve">test parameters in </w:t>
      </w:r>
      <w:r>
        <w:rPr>
          <w:rFonts w:hint="eastAsia" w:eastAsia="宋体"/>
          <w:szCs w:val="22"/>
          <w:lang w:eastAsia="zh-CN"/>
        </w:rPr>
        <w:t>c</w:t>
      </w:r>
      <w:r>
        <w:rPr>
          <w:rFonts w:eastAsia="宋体"/>
          <w:szCs w:val="22"/>
          <w:lang w:eastAsia="zh-CN"/>
        </w:rPr>
        <w:t>ase 1 is applied for ATG UE. ACS requirements in case 2 shall be specified based on the maximum input level of xdBm</w:t>
      </w:r>
      <w:r>
        <w:rPr>
          <w:rFonts w:hint="eastAsia"/>
          <w:szCs w:val="22"/>
          <w:lang w:eastAsia="zh-TW"/>
        </w:rPr>
        <w:t>.</w:t>
      </w:r>
    </w:p>
    <w:p/>
    <w:p>
      <w:pPr>
        <w:pStyle w:val="5"/>
        <w:spacing w:after="0"/>
        <w:ind w:left="0" w:firstLine="0"/>
      </w:pPr>
      <w:bookmarkStart w:id="1123" w:name="_Toc1202"/>
      <w:bookmarkStart w:id="1124" w:name="_Toc562"/>
      <w:bookmarkStart w:id="1125" w:name="_Toc22910"/>
      <w:bookmarkStart w:id="1126" w:name="_Toc5060"/>
      <w:bookmarkStart w:id="1127" w:name="_Toc133498161"/>
      <w:bookmarkStart w:id="1128" w:name="_Toc31534"/>
      <w:bookmarkStart w:id="1129" w:name="_Toc206"/>
      <w:bookmarkStart w:id="1130" w:name="_Toc22826"/>
      <w:bookmarkStart w:id="1131" w:name="_Toc2078"/>
      <w:bookmarkStart w:id="1132" w:name="_Toc11053"/>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1123"/>
      <w:bookmarkEnd w:id="1124"/>
      <w:bookmarkEnd w:id="1125"/>
      <w:bookmarkEnd w:id="1126"/>
      <w:bookmarkEnd w:id="1127"/>
      <w:bookmarkEnd w:id="1128"/>
      <w:bookmarkEnd w:id="1129"/>
      <w:bookmarkEnd w:id="1130"/>
      <w:bookmarkEnd w:id="1131"/>
      <w:bookmarkEnd w:id="1132"/>
    </w:p>
    <w:p>
      <w:pPr>
        <w:jc w:val="both"/>
        <w:rPr>
          <w:b/>
          <w:bCs/>
          <w:color w:val="000000" w:themeColor="text1"/>
          <w:sz w:val="20"/>
          <w:szCs w:val="20"/>
          <w:u w:val="single"/>
          <w14:textFill>
            <w14:solidFill>
              <w14:schemeClr w14:val="tx1"/>
            </w14:solidFill>
          </w14:textFill>
        </w:rPr>
      </w:pPr>
      <w:r>
        <w:rPr>
          <w:b/>
          <w:bCs/>
          <w:color w:val="000000" w:themeColor="text1"/>
          <w:sz w:val="20"/>
          <w:szCs w:val="20"/>
          <w:u w:val="single"/>
          <w14:textFill>
            <w14:solidFill>
              <w14:schemeClr w14:val="tx1"/>
            </w14:solidFill>
          </w14:textFill>
        </w:rPr>
        <w:t>Blocking due to TN interference</w:t>
      </w:r>
    </w:p>
    <w:p>
      <w:pPr>
        <w:spacing w:after="160" w:line="259" w:lineRule="auto"/>
        <w:rPr>
          <w:rFonts w:eastAsia="Calibri"/>
          <w:sz w:val="20"/>
          <w:szCs w:val="22"/>
          <w:lang w:eastAsia="ja-JP"/>
        </w:rPr>
      </w:pPr>
      <w:r>
        <w:rPr>
          <w:rFonts w:eastAsia="Calibri"/>
          <w:sz w:val="20"/>
          <w:szCs w:val="22"/>
          <w:lang w:eastAsia="ja-JP"/>
        </w:rPr>
        <w:t xml:space="preserve">Compared to terrestrial UE, ATG UEs are distant from base stations, experiencing LoS path loss from the TN BS that </w:t>
      </w:r>
      <w:r>
        <w:rPr>
          <w:rFonts w:hint="eastAsia" w:eastAsia="Calibri"/>
          <w:sz w:val="20"/>
          <w:szCs w:val="22"/>
        </w:rPr>
        <w:t>is</w:t>
      </w:r>
      <w:r>
        <w:rPr>
          <w:rFonts w:eastAsia="Calibri"/>
          <w:sz w:val="20"/>
          <w:szCs w:val="22"/>
          <w:lang w:eastAsia="ja-JP"/>
        </w:rPr>
        <w:t xml:space="preserve"> not directly pointed at them. ATG UE at 2 GHz with </w:t>
      </w:r>
      <w:r>
        <w:rPr>
          <w:rFonts w:hint="eastAsia" w:eastAsia="宋体"/>
          <w:sz w:val="20"/>
          <w:szCs w:val="22"/>
          <w:lang w:eastAsia="zh-CN"/>
        </w:rPr>
        <w:t>omni-directional</w:t>
      </w:r>
      <w:r>
        <w:rPr>
          <w:rFonts w:eastAsia="Calibri"/>
          <w:sz w:val="20"/>
          <w:szCs w:val="22"/>
          <w:lang w:eastAsia="ja-JP"/>
        </w:rPr>
        <w:t xml:space="preserve"> antennas, may receive power from multiple TN BSs. Even at 4 GHz, an ATG UE pointing downwards may still receive Rx power from the ground TN BS.</w:t>
      </w:r>
    </w:p>
    <w:p>
      <w:pPr>
        <w:spacing w:after="160" w:line="259" w:lineRule="auto"/>
        <w:rPr>
          <w:rFonts w:eastAsia="Calibri"/>
          <w:sz w:val="20"/>
          <w:szCs w:val="20"/>
          <w:lang w:eastAsia="ja-JP"/>
        </w:rPr>
      </w:pPr>
      <w:r>
        <w:rPr>
          <w:rFonts w:eastAsia="Calibri"/>
          <w:sz w:val="20"/>
          <w:szCs w:val="20"/>
          <w:lang w:eastAsia="ja-JP"/>
        </w:rPr>
        <w:t xml:space="preserve">To evaluate the TN’s blocking power, simulations are conducted based on Scenario 3 and 11 (TN aggressor DL to ATG DL) and analyze the CDF of the absolute Rx power received by the ATG UE from the TN. The simulation is based on the following deployment scenarios: </w:t>
      </w:r>
      <w:r>
        <w:rPr>
          <w:rFonts w:eastAsia="Calibri"/>
          <w:sz w:val="20"/>
          <w:szCs w:val="20"/>
          <w:lang w:val="en-GB" w:eastAsia="ja-JP"/>
        </w:rPr>
        <w:t xml:space="preserve">the ATG BS is located 300 km away from the center of the TN cluster and the ATG UEs x-coordinate is uniformly distributed over the horizontal extent of the TN cluster. The TN BSs utilize </w:t>
      </w:r>
      <w:r>
        <w:rPr>
          <w:rFonts w:eastAsia="Calibri"/>
          <w:sz w:val="20"/>
          <w:szCs w:val="20"/>
          <w:lang w:eastAsia="ja-JP"/>
        </w:rPr>
        <w:t>non-co-located 8-column non-subarray antennas. A single 5 dBi gain element has been used at the ATG UE at 4 GHz while an isotropic radiator is used at 2 GHz.</w:t>
      </w:r>
    </w:p>
    <w:p>
      <w:pPr>
        <w:spacing w:after="160" w:line="259" w:lineRule="auto"/>
        <w:rPr>
          <w:rFonts w:eastAsia="Calibri"/>
          <w:sz w:val="20"/>
          <w:szCs w:val="22"/>
          <w:lang w:eastAsia="ja-JP"/>
        </w:rPr>
      </w:pPr>
      <w:r>
        <w:rPr>
          <w:rFonts w:eastAsia="Calibri"/>
          <w:sz w:val="20"/>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pPr>
        <w:spacing w:after="160" w:line="259" w:lineRule="auto"/>
        <w:rPr>
          <w:rFonts w:eastAsia="Calibri"/>
          <w:sz w:val="20"/>
          <w:szCs w:val="22"/>
          <w:lang w:eastAsia="ja-JP"/>
        </w:rPr>
      </w:pPr>
      <w:r>
        <w:rPr>
          <w:rFonts w:eastAsia="Calibri"/>
          <w:sz w:val="20"/>
          <w:szCs w:val="22"/>
          <w:lang w:eastAsia="ja-JP"/>
        </w:rPr>
        <w:t xml:space="preserve">Therefore, it is suggested to reuse the in-band blocking requirements in TS 38.101-1 for ATG UE. </w:t>
      </w:r>
    </w:p>
    <w:p>
      <w:pPr>
        <w:spacing w:after="160" w:line="259" w:lineRule="auto"/>
        <w:rPr>
          <w:rFonts w:eastAsia="Calibri"/>
          <w:sz w:val="20"/>
          <w:szCs w:val="22"/>
          <w:lang w:eastAsia="ja-JP"/>
        </w:rPr>
      </w:pPr>
    </w:p>
    <w:p>
      <w:pPr>
        <w:keepNext/>
        <w:spacing w:after="160" w:line="259" w:lineRule="auto"/>
        <w:jc w:val="center"/>
      </w:pPr>
      <w:r>
        <w:rPr>
          <w:rFonts w:eastAsia="Calibri"/>
          <w:sz w:val="20"/>
          <w:szCs w:val="22"/>
          <w:lang w:eastAsia="ja-JP"/>
        </w:rPr>
        <w:drawing>
          <wp:inline distT="0" distB="0" distL="0" distR="0">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5"/>
                    <a:srcRect l="2860" t="2468" r="5457"/>
                    <a:stretch>
                      <a:fillRect/>
                    </a:stretch>
                  </pic:blipFill>
                  <pic:spPr>
                    <a:xfrm>
                      <a:off x="0" y="0"/>
                      <a:ext cx="4917279" cy="2358048"/>
                    </a:xfrm>
                    <a:prstGeom prst="rect">
                      <a:avLst/>
                    </a:prstGeom>
                    <a:ln>
                      <a:noFill/>
                    </a:ln>
                  </pic:spPr>
                </pic:pic>
              </a:graphicData>
            </a:graphic>
          </wp:inline>
        </w:drawing>
      </w:r>
    </w:p>
    <w:p>
      <w:pPr>
        <w:pStyle w:val="28"/>
        <w:jc w:val="center"/>
        <w:rPr>
          <w:rFonts w:ascii="Arial" w:hAnsi="Arial" w:cs="Arial"/>
          <w:sz w:val="20"/>
          <w:szCs w:val="20"/>
        </w:rPr>
      </w:pPr>
      <w:bookmarkStart w:id="1133" w:name="_Ref131669479"/>
      <w:r>
        <w:rPr>
          <w:rFonts w:ascii="Arial" w:hAnsi="Arial" w:cs="Arial"/>
          <w:sz w:val="20"/>
          <w:szCs w:val="20"/>
        </w:rPr>
        <w:t xml:space="preserve">Figure </w:t>
      </w:r>
      <w:bookmarkEnd w:id="1133"/>
      <w:r>
        <w:rPr>
          <w:rFonts w:ascii="Arial" w:hAnsi="Arial" w:cs="Arial"/>
          <w:sz w:val="20"/>
          <w:szCs w:val="20"/>
        </w:rPr>
        <w:t>7.1.3.6-1 Simulation results of ACI blocking for scenario 3.</w:t>
      </w:r>
    </w:p>
    <w:p>
      <w:pPr>
        <w:rPr>
          <w:rFonts w:eastAsia="Calibri"/>
        </w:rPr>
      </w:pPr>
    </w:p>
    <w:p>
      <w:pPr>
        <w:keepNext/>
        <w:spacing w:after="160" w:line="259" w:lineRule="auto"/>
        <w:jc w:val="center"/>
      </w:pPr>
      <w:r>
        <w:rPr>
          <w:rFonts w:eastAsia="Calibri"/>
          <w:sz w:val="20"/>
          <w:szCs w:val="22"/>
          <w:lang w:eastAsia="ja-JP"/>
        </w:rPr>
        <w:drawing>
          <wp:inline distT="0" distB="0" distL="0" distR="0">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6"/>
                    <a:srcRect l="2860" t="2116" r="5457"/>
                    <a:stretch>
                      <a:fillRect/>
                    </a:stretch>
                  </pic:blipFill>
                  <pic:spPr>
                    <a:xfrm>
                      <a:off x="0" y="0"/>
                      <a:ext cx="4840571" cy="2329655"/>
                    </a:xfrm>
                    <a:prstGeom prst="rect">
                      <a:avLst/>
                    </a:prstGeom>
                    <a:ln>
                      <a:noFill/>
                    </a:ln>
                  </pic:spPr>
                </pic:pic>
              </a:graphicData>
            </a:graphic>
          </wp:inline>
        </w:drawing>
      </w:r>
    </w:p>
    <w:p>
      <w:pPr>
        <w:pStyle w:val="28"/>
        <w:jc w:val="center"/>
        <w:rPr>
          <w:rFonts w:ascii="Arial" w:hAnsi="Arial" w:cs="Arial"/>
          <w:sz w:val="20"/>
          <w:szCs w:val="20"/>
        </w:rPr>
      </w:pPr>
      <w:bookmarkStart w:id="1134" w:name="_Ref131669486"/>
      <w:r>
        <w:rPr>
          <w:rFonts w:ascii="Arial" w:hAnsi="Arial" w:cs="Arial"/>
          <w:sz w:val="20"/>
          <w:szCs w:val="20"/>
        </w:rPr>
        <w:t xml:space="preserve">Figure </w:t>
      </w:r>
      <w:bookmarkEnd w:id="1134"/>
      <w:r>
        <w:rPr>
          <w:rFonts w:ascii="Arial" w:hAnsi="Arial" w:cs="Arial"/>
          <w:sz w:val="20"/>
          <w:szCs w:val="20"/>
        </w:rPr>
        <w:t>7.1.3.6-2 Simulation results of ACI blocking for scenario 11.</w:t>
      </w:r>
    </w:p>
    <w:p>
      <w:pPr>
        <w:jc w:val="both"/>
        <w:rPr>
          <w:b/>
          <w:bCs/>
          <w:color w:val="000000" w:themeColor="text1"/>
          <w:sz w:val="20"/>
          <w:szCs w:val="20"/>
          <w:u w:val="single"/>
          <w14:textFill>
            <w14:solidFill>
              <w14:schemeClr w14:val="tx1"/>
            </w14:solidFill>
          </w14:textFill>
        </w:rPr>
      </w:pPr>
      <w:r>
        <w:rPr>
          <w:b/>
          <w:bCs/>
          <w:color w:val="000000" w:themeColor="text1"/>
          <w:sz w:val="20"/>
          <w:szCs w:val="20"/>
          <w:u w:val="single"/>
          <w14:textFill>
            <w14:solidFill>
              <w14:schemeClr w14:val="tx1"/>
            </w14:solidFill>
          </w14:textFill>
        </w:rPr>
        <w:t>Blocking due to interference from another ATG network</w:t>
      </w:r>
    </w:p>
    <w:p>
      <w:pPr>
        <w:spacing w:after="160" w:line="259" w:lineRule="auto"/>
        <w:rPr>
          <w:rFonts w:eastAsia="Calibri"/>
          <w:sz w:val="20"/>
          <w:szCs w:val="22"/>
          <w:lang w:eastAsia="ja-JP"/>
        </w:rPr>
      </w:pPr>
      <w:r>
        <w:rPr>
          <w:rFonts w:eastAsia="Calibri"/>
          <w:sz w:val="20"/>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pPr>
        <w:keepNext/>
        <w:spacing w:after="160" w:line="259" w:lineRule="auto"/>
        <w:jc w:val="center"/>
      </w:pPr>
    </w:p>
    <w:p>
      <w:pPr>
        <w:keepNext/>
        <w:spacing w:after="160" w:line="259" w:lineRule="auto"/>
        <w:jc w:val="center"/>
      </w:pPr>
      <w:r>
        <w:drawing>
          <wp:inline distT="0" distB="0" distL="0" distR="0">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7"/>
                    <a:stretch>
                      <a:fillRect/>
                    </a:stretch>
                  </pic:blipFill>
                  <pic:spPr>
                    <a:xfrm>
                      <a:off x="0" y="0"/>
                      <a:ext cx="4594824" cy="3258681"/>
                    </a:xfrm>
                    <a:prstGeom prst="rect">
                      <a:avLst/>
                    </a:prstGeom>
                  </pic:spPr>
                </pic:pic>
              </a:graphicData>
            </a:graphic>
          </wp:inline>
        </w:drawing>
      </w:r>
    </w:p>
    <w:p>
      <w:pPr>
        <w:pStyle w:val="28"/>
        <w:jc w:val="center"/>
        <w:rPr>
          <w:rFonts w:ascii="Arial" w:hAnsi="Arial" w:eastAsia="Calibri" w:cs="Arial"/>
          <w:sz w:val="15"/>
          <w:szCs w:val="18"/>
          <w:lang w:eastAsia="ja-JP"/>
        </w:rPr>
      </w:pPr>
      <w:bookmarkStart w:id="1135" w:name="_Ref130820153"/>
      <w:r>
        <w:rPr>
          <w:rFonts w:ascii="Arial" w:hAnsi="Arial" w:cs="Arial"/>
          <w:sz w:val="20"/>
          <w:szCs w:val="20"/>
        </w:rPr>
        <w:t xml:space="preserve">Figure </w:t>
      </w:r>
      <w:bookmarkEnd w:id="1135"/>
      <w:r>
        <w:rPr>
          <w:rFonts w:ascii="Arial" w:hAnsi="Arial" w:cs="Arial"/>
          <w:sz w:val="20"/>
          <w:szCs w:val="20"/>
        </w:rPr>
        <w:t>7.1.3.6-3 Two scenarios when co-located BS pointing towards different aircraft that are relatively close.</w:t>
      </w:r>
    </w:p>
    <w:p>
      <w:pPr>
        <w:spacing w:after="160" w:line="259" w:lineRule="auto"/>
        <w:rPr>
          <w:rFonts w:eastAsia="Calibri"/>
          <w:sz w:val="20"/>
          <w:szCs w:val="20"/>
          <w:lang w:eastAsia="ja-JP"/>
        </w:rPr>
      </w:pPr>
      <w:r>
        <w:rPr>
          <w:rFonts w:eastAsia="Calibri"/>
          <w:sz w:val="20"/>
          <w:szCs w:val="20"/>
          <w:lang w:eastAsia="ja-JP"/>
        </w:rPr>
        <w:t>Considering the FAA regulations mandating minimum aircraft separations of 300 m (1000 ft) vertically or 9.26 km (5 NM) horizontally in en-route airspace, one can estimate the angular separation. The victim aircraft could fall within the main lobe or the edge of the beam lobe towards the aggressor aircraft. Assuming 20 km distance from the ATG BS to the victim aircraft at a 10 km flight level, the angle separation is less than 1 deg in Scenario 1 and 15.4 deg in Scenario 2.</w:t>
      </w:r>
    </w:p>
    <w:p>
      <w:pPr>
        <w:spacing w:after="160" w:line="259" w:lineRule="auto"/>
        <w:rPr>
          <w:rFonts w:eastAsia="Calibri"/>
          <w:sz w:val="20"/>
          <w:szCs w:val="20"/>
          <w:lang w:eastAsia="ja-JP"/>
        </w:rPr>
      </w:pPr>
      <w:r>
        <w:rPr>
          <w:rFonts w:eastAsia="Calibri"/>
          <w:sz w:val="20"/>
          <w:szCs w:val="20"/>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pPr>
        <w:spacing w:after="160" w:line="259" w:lineRule="auto"/>
        <w:rPr>
          <w:rFonts w:eastAsia="Calibri"/>
          <w:szCs w:val="20"/>
          <w:lang w:eastAsia="ja-JP"/>
        </w:rPr>
      </w:pPr>
      <w:r>
        <w:rPr>
          <w:rFonts w:eastAsia="Calibri"/>
          <w:szCs w:val="20"/>
          <w:lang w:eastAsia="ja-JP"/>
        </w:rPr>
        <w:t>Thus, it is not necessary to consider blocking from other ATG networks when assessing the in-band blocking requirement.</w:t>
      </w:r>
    </w:p>
    <w:p>
      <w:pPr>
        <w:pStyle w:val="5"/>
        <w:spacing w:after="0"/>
        <w:ind w:left="0" w:firstLine="0"/>
      </w:pPr>
      <w:bookmarkStart w:id="1136" w:name="_Toc24075"/>
      <w:bookmarkStart w:id="1137" w:name="_Toc26140"/>
      <w:bookmarkStart w:id="1138" w:name="_Toc2887"/>
      <w:bookmarkStart w:id="1139" w:name="_Toc21944"/>
      <w:bookmarkStart w:id="1140" w:name="_Toc133498162"/>
      <w:bookmarkStart w:id="1141" w:name="_Toc22967"/>
      <w:bookmarkStart w:id="1142" w:name="_Toc3540"/>
      <w:bookmarkStart w:id="1143" w:name="_Toc24021"/>
      <w:bookmarkStart w:id="1144" w:name="_Toc2856"/>
      <w:bookmarkStart w:id="1145" w:name="_Toc6766"/>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1136"/>
      <w:bookmarkEnd w:id="1137"/>
      <w:bookmarkEnd w:id="1138"/>
      <w:bookmarkEnd w:id="1139"/>
      <w:bookmarkEnd w:id="1140"/>
      <w:bookmarkEnd w:id="1141"/>
      <w:bookmarkEnd w:id="1142"/>
      <w:bookmarkEnd w:id="1143"/>
      <w:bookmarkEnd w:id="1144"/>
      <w:bookmarkEnd w:id="1145"/>
    </w:p>
    <w:p>
      <w:pPr>
        <w:rPr>
          <w:rFonts w:eastAsiaTheme="minorEastAsia"/>
          <w:lang w:eastAsia="zh-CN"/>
        </w:rPr>
      </w:pPr>
      <w:r>
        <w:rPr>
          <w:rFonts w:hint="eastAsia" w:eastAsiaTheme="minor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pPr>
        <w:rPr>
          <w:lang w:eastAsia="zh-CN"/>
        </w:rPr>
      </w:pPr>
      <w:r>
        <w:rPr>
          <w:rFonts w:eastAsiaTheme="minorEastAsia"/>
          <w:lang w:eastAsia="zh-CN"/>
        </w:rPr>
        <w:t>Thus, the existing out-of-band blocking requirements and spurious response requirement (-44dBm) in TS 38.101-1 are used for ATG UE.</w:t>
      </w:r>
    </w:p>
    <w:p>
      <w:pPr>
        <w:pStyle w:val="5"/>
        <w:spacing w:after="0"/>
        <w:ind w:left="0" w:firstLine="0"/>
      </w:pPr>
      <w:bookmarkStart w:id="1146" w:name="_Toc804"/>
      <w:bookmarkStart w:id="1147" w:name="_Toc28825"/>
      <w:bookmarkStart w:id="1148" w:name="_Toc133498163"/>
      <w:bookmarkStart w:id="1149" w:name="_Toc7068"/>
      <w:bookmarkStart w:id="1150" w:name="_Toc22285"/>
      <w:bookmarkStart w:id="1151" w:name="_Toc6225"/>
      <w:bookmarkStart w:id="1152" w:name="_Toc6113"/>
      <w:bookmarkStart w:id="1153" w:name="_Toc21151"/>
      <w:bookmarkStart w:id="1154" w:name="_Toc9524"/>
      <w:bookmarkStart w:id="1155" w:name="_Toc1991"/>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1146"/>
      <w:bookmarkEnd w:id="1147"/>
      <w:bookmarkEnd w:id="1148"/>
      <w:bookmarkEnd w:id="1149"/>
      <w:bookmarkEnd w:id="1150"/>
      <w:bookmarkEnd w:id="1151"/>
      <w:bookmarkEnd w:id="1152"/>
      <w:bookmarkEnd w:id="1153"/>
      <w:bookmarkEnd w:id="1154"/>
      <w:bookmarkEnd w:id="1155"/>
    </w:p>
    <w:p>
      <w:pPr>
        <w:spacing w:after="0"/>
        <w:rPr>
          <w:lang w:val="en-US" w:eastAsia="zh-CN"/>
        </w:rPr>
      </w:pPr>
      <w:r>
        <w:rPr>
          <w:lang w:val="en-US" w:eastAsia="zh-CN"/>
        </w:rPr>
        <w:t>It was agreed not to specify narrow band blocking requirements for ATG UE.</w:t>
      </w:r>
    </w:p>
    <w:p>
      <w:pPr>
        <w:pStyle w:val="5"/>
        <w:spacing w:after="0"/>
        <w:ind w:left="0" w:firstLine="0"/>
      </w:pPr>
      <w:bookmarkStart w:id="1156" w:name="_Toc16022"/>
      <w:bookmarkStart w:id="1157" w:name="_Toc13888"/>
      <w:bookmarkStart w:id="1158" w:name="_Toc9121"/>
      <w:bookmarkStart w:id="1159" w:name="_Toc15418"/>
      <w:bookmarkStart w:id="1160" w:name="_Toc133498164"/>
      <w:bookmarkStart w:id="1161" w:name="_Toc22359"/>
      <w:bookmarkStart w:id="1162" w:name="_Toc17486"/>
      <w:bookmarkStart w:id="1163" w:name="_Toc29143"/>
      <w:bookmarkStart w:id="1164" w:name="_Toc20229"/>
      <w:bookmarkStart w:id="1165" w:name="_Toc2265"/>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1156"/>
      <w:bookmarkEnd w:id="1157"/>
      <w:bookmarkEnd w:id="1158"/>
      <w:bookmarkEnd w:id="1159"/>
      <w:bookmarkEnd w:id="1160"/>
      <w:bookmarkEnd w:id="1161"/>
      <w:bookmarkEnd w:id="1162"/>
      <w:bookmarkEnd w:id="1163"/>
      <w:bookmarkEnd w:id="1164"/>
      <w:bookmarkEnd w:id="1165"/>
    </w:p>
    <w:p>
      <w:pPr>
        <w:spacing w:after="180"/>
        <w:rPr>
          <w:rFonts w:eastAsia="等线"/>
          <w:iCs/>
          <w:sz w:val="20"/>
          <w:szCs w:val="20"/>
        </w:rPr>
      </w:pPr>
      <w:r>
        <w:rPr>
          <w:rFonts w:eastAsia="等线"/>
          <w:iCs/>
          <w:sz w:val="20"/>
          <w:szCs w:val="20"/>
        </w:rPr>
        <w:t>Intermodulation response rejection is a measure of the receiver's capability to receive a wanted signal on its assigned channel frequency in the presence of two or more interfering signals with a specific frequency relationship to the wanted signal.</w:t>
      </w:r>
    </w:p>
    <w:p>
      <w:pPr>
        <w:spacing w:after="180"/>
        <w:rPr>
          <w:rFonts w:eastAsia="等线"/>
          <w:iCs/>
          <w:szCs w:val="20"/>
        </w:rPr>
      </w:pPr>
      <w:r>
        <w:rPr>
          <w:rFonts w:eastAsia="等线"/>
          <w:iCs/>
          <w:szCs w:val="20"/>
        </w:rPr>
        <w:t>It was agreed to reuse the intermodulation characteristics requirements specified in TS 38.101-1 for ATG UE.</w:t>
      </w:r>
    </w:p>
    <w:p>
      <w:pPr>
        <w:pStyle w:val="5"/>
        <w:spacing w:after="0"/>
        <w:ind w:left="0" w:firstLine="0"/>
      </w:pPr>
      <w:bookmarkStart w:id="1166" w:name="_Toc9666"/>
      <w:bookmarkStart w:id="1167" w:name="_Toc5018"/>
      <w:bookmarkStart w:id="1168" w:name="_Toc21736"/>
      <w:bookmarkStart w:id="1169" w:name="_Toc133498165"/>
      <w:bookmarkStart w:id="1170" w:name="_Toc22829"/>
      <w:bookmarkStart w:id="1171" w:name="_Toc19830"/>
      <w:bookmarkStart w:id="1172" w:name="_Toc1405"/>
      <w:bookmarkStart w:id="1173" w:name="_Toc18845"/>
      <w:bookmarkStart w:id="1174" w:name="_Toc1383"/>
      <w:bookmarkStart w:id="1175" w:name="_Toc31487"/>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1166"/>
      <w:bookmarkEnd w:id="1167"/>
      <w:bookmarkEnd w:id="1168"/>
      <w:bookmarkEnd w:id="1169"/>
      <w:bookmarkEnd w:id="1170"/>
      <w:bookmarkEnd w:id="1171"/>
      <w:bookmarkEnd w:id="1172"/>
      <w:bookmarkEnd w:id="1173"/>
      <w:bookmarkEnd w:id="1174"/>
      <w:bookmarkEnd w:id="1175"/>
    </w:p>
    <w:p>
      <w:pPr>
        <w:spacing w:after="0"/>
        <w:rPr>
          <w:rFonts w:eastAsia="宋体"/>
          <w:sz w:val="24"/>
          <w:szCs w:val="24"/>
          <w:lang w:val="en-US" w:eastAsia="zh-CN"/>
        </w:rPr>
      </w:pPr>
      <w:r>
        <w:rPr>
          <w:rFonts w:eastAsia="宋体"/>
          <w:lang w:eastAsia="zh-CN"/>
        </w:rPr>
        <w:t>As this is regulatory requirements and referring to the ERC Recommendation 74-01 Annex 3 [3], the spurious emissions limits specified in sub-clause of TS 38.101-1[4] would also be applicable to ATG UE.</w:t>
      </w:r>
    </w:p>
    <w:p>
      <w:pPr>
        <w:pStyle w:val="3"/>
      </w:pPr>
      <w:bookmarkStart w:id="1176" w:name="_Toc16521"/>
      <w:bookmarkStart w:id="1177" w:name="_Toc8622"/>
      <w:bookmarkStart w:id="1178" w:name="_Toc23818"/>
      <w:bookmarkStart w:id="1179" w:name="_Toc31687"/>
      <w:bookmarkStart w:id="1180" w:name="_Toc133498166"/>
      <w:bookmarkStart w:id="1181" w:name="_Toc9847"/>
      <w:bookmarkStart w:id="1182" w:name="_Toc15361"/>
      <w:bookmarkStart w:id="1183" w:name="_Toc22381"/>
      <w:bookmarkStart w:id="1184" w:name="_Toc13231"/>
      <w:bookmarkStart w:id="1185" w:name="_Toc4718"/>
      <w:r>
        <w:rPr>
          <w:rFonts w:hint="eastAsia"/>
          <w:lang w:eastAsia="zh-CN"/>
        </w:rPr>
        <w:t>7</w:t>
      </w:r>
      <w:r>
        <w:t>.2</w:t>
      </w:r>
      <w:r>
        <w:tab/>
      </w:r>
      <w:r>
        <w:rPr>
          <w:rFonts w:hint="eastAsia"/>
          <w:lang w:eastAsia="zh-CN"/>
        </w:rPr>
        <w:t xml:space="preserve">ATG </w:t>
      </w:r>
      <w:r>
        <w:t>BS specific</w:t>
      </w:r>
      <w:bookmarkEnd w:id="1176"/>
      <w:bookmarkEnd w:id="1177"/>
      <w:bookmarkEnd w:id="1178"/>
      <w:bookmarkEnd w:id="1179"/>
      <w:bookmarkEnd w:id="1180"/>
      <w:bookmarkEnd w:id="1181"/>
      <w:bookmarkEnd w:id="1182"/>
      <w:bookmarkEnd w:id="1183"/>
      <w:bookmarkEnd w:id="1184"/>
      <w:bookmarkEnd w:id="1185"/>
    </w:p>
    <w:p>
      <w:r>
        <w:t xml:space="preserve">For most of the requirements, </w:t>
      </w:r>
      <w:r>
        <w:rPr>
          <w:rFonts w:hint="eastAsia" w:eastAsia="宋体"/>
          <w:lang w:val="en-US" w:eastAsia="zh-CN"/>
        </w:rPr>
        <w:t xml:space="preserve">it was generally agreed to </w:t>
      </w:r>
      <w:r>
        <w:rPr>
          <w:rFonts w:eastAsia="宋体"/>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hint="eastAsia" w:eastAsia="宋体"/>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hint="eastAsia" w:eastAsia="宋体"/>
          <w:lang w:val="en-US" w:eastAsia="zh-CN"/>
        </w:rPr>
        <w:t xml:space="preserve">e following </w:t>
      </w:r>
      <w:r>
        <w:t>section will capture the</w:t>
      </w:r>
      <w:r>
        <w:rPr>
          <w:rFonts w:hint="eastAsia" w:eastAsia="宋体"/>
          <w:lang w:val="en-US" w:eastAsia="zh-CN"/>
        </w:rPr>
        <w:t xml:space="preserve"> </w:t>
      </w:r>
      <w:r>
        <w:rPr>
          <w:rFonts w:eastAsia="宋体"/>
          <w:lang w:val="en-US" w:eastAsia="zh-CN"/>
        </w:rPr>
        <w:t xml:space="preserve">considerations </w:t>
      </w:r>
      <w:r>
        <w:rPr>
          <w:rFonts w:hint="eastAsia" w:eastAsia="宋体"/>
          <w:lang w:val="en-US" w:eastAsia="zh-CN"/>
        </w:rPr>
        <w:t>of ATG BS RF requirement</w:t>
      </w:r>
      <w:r>
        <w:rPr>
          <w:rFonts w:eastAsia="宋体"/>
          <w:lang w:val="en-US" w:eastAsia="zh-CN"/>
        </w:rPr>
        <w:t>s</w:t>
      </w:r>
      <w:r>
        <w:rPr>
          <w:rFonts w:hint="eastAsia" w:eastAsia="宋体"/>
          <w:lang w:val="en-US" w:eastAsia="zh-CN"/>
        </w:rPr>
        <w:t>.</w:t>
      </w:r>
    </w:p>
    <w:p>
      <w:pPr>
        <w:pStyle w:val="4"/>
        <w:rPr>
          <w:lang w:eastAsia="zh-CN"/>
        </w:rPr>
      </w:pPr>
      <w:bookmarkStart w:id="1186" w:name="_Toc24573"/>
      <w:bookmarkStart w:id="1187" w:name="_Toc3824"/>
      <w:bookmarkStart w:id="1188" w:name="_Toc26778"/>
      <w:bookmarkStart w:id="1189" w:name="_Toc133498167"/>
      <w:bookmarkStart w:id="1190" w:name="_Toc22255"/>
      <w:bookmarkStart w:id="1191" w:name="_Toc10889"/>
      <w:bookmarkStart w:id="1192" w:name="_Toc493"/>
      <w:bookmarkStart w:id="1193" w:name="_Toc3649"/>
      <w:bookmarkStart w:id="1194" w:name="_Toc11713"/>
      <w:bookmarkStart w:id="1195" w:name="_Toc22705"/>
      <w:r>
        <w:rPr>
          <w:rFonts w:hint="eastAsia"/>
        </w:rPr>
        <w:t>7.2.1 ATG BS class and BS type</w:t>
      </w:r>
      <w:bookmarkEnd w:id="1186"/>
      <w:bookmarkEnd w:id="1187"/>
      <w:bookmarkEnd w:id="1188"/>
      <w:bookmarkEnd w:id="1189"/>
      <w:bookmarkEnd w:id="1190"/>
      <w:bookmarkEnd w:id="1191"/>
      <w:bookmarkEnd w:id="1192"/>
      <w:bookmarkEnd w:id="1193"/>
      <w:bookmarkEnd w:id="1194"/>
      <w:bookmarkEnd w:id="1195"/>
    </w:p>
    <w:p>
      <w:pPr>
        <w:rPr>
          <w:lang w:val="en-US" w:eastAsia="zh-CN"/>
        </w:rPr>
      </w:pPr>
      <w:bookmarkStart w:id="1196"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pPr>
        <w:rPr>
          <w:lang w:eastAsia="zh-CN"/>
        </w:rPr>
      </w:pPr>
      <w:r>
        <w:rPr>
          <w:rFonts w:hint="eastAsia" w:eastAsia="宋体"/>
          <w:iCs/>
          <w:szCs w:val="24"/>
          <w:lang w:eastAsia="ja-JP"/>
        </w:rPr>
        <w:t>ATG Base Stations are characterized by requirements derived from ATG scenarios with a ground BS to air UE with typical vertical altitude of around 10,000m and take-off/landing altitudes down to 3000m</w:t>
      </w:r>
      <w:r>
        <w:rPr>
          <w:rFonts w:eastAsia="宋体"/>
          <w:iCs/>
          <w:szCs w:val="24"/>
          <w:lang w:eastAsia="ja-JP"/>
        </w:rPr>
        <w:t>.</w:t>
      </w:r>
    </w:p>
    <w:p>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pPr>
        <w:pStyle w:val="4"/>
        <w:rPr>
          <w:lang w:eastAsia="zh-CN"/>
        </w:rPr>
      </w:pPr>
      <w:bookmarkStart w:id="1197" w:name="_Toc20533"/>
      <w:bookmarkStart w:id="1198" w:name="_Toc133498168"/>
      <w:bookmarkStart w:id="1199" w:name="_Toc13972"/>
      <w:bookmarkStart w:id="1200" w:name="_Toc22140"/>
      <w:bookmarkStart w:id="1201" w:name="_Toc30475"/>
      <w:bookmarkStart w:id="1202" w:name="_Toc425"/>
      <w:bookmarkStart w:id="1203" w:name="_Toc11438"/>
      <w:bookmarkStart w:id="1204" w:name="_Toc10731"/>
      <w:bookmarkStart w:id="1205" w:name="_Toc1340"/>
      <w:bookmarkStart w:id="1206" w:name="_Toc7591"/>
      <w:r>
        <w:rPr>
          <w:rFonts w:hint="eastAsia"/>
        </w:rPr>
        <w:t xml:space="preserve">7.2.2 </w:t>
      </w:r>
      <w:bookmarkEnd w:id="1196"/>
      <w:r>
        <w:rPr>
          <w:rFonts w:hint="eastAsia"/>
          <w:lang w:eastAsia="zh-CN"/>
        </w:rPr>
        <w:t>Tx requirements</w:t>
      </w:r>
      <w:bookmarkEnd w:id="1197"/>
      <w:bookmarkEnd w:id="1198"/>
      <w:bookmarkEnd w:id="1199"/>
      <w:bookmarkEnd w:id="1200"/>
      <w:bookmarkEnd w:id="1201"/>
      <w:bookmarkEnd w:id="1202"/>
      <w:bookmarkEnd w:id="1203"/>
      <w:bookmarkEnd w:id="1204"/>
      <w:bookmarkEnd w:id="1205"/>
      <w:bookmarkEnd w:id="1206"/>
    </w:p>
    <w:p>
      <w:pPr>
        <w:pStyle w:val="5"/>
        <w:spacing w:before="120" w:beforeAutospacing="1" w:after="312" w:afterLines="100"/>
        <w:ind w:left="899" w:right="200" w:rightChars="100"/>
        <w:outlineLvl w:val="3"/>
      </w:pPr>
      <w:bookmarkStart w:id="1207" w:name="_Toc8518"/>
      <w:bookmarkStart w:id="1208" w:name="_Toc26184"/>
      <w:bookmarkStart w:id="1209" w:name="_Toc32723"/>
      <w:bookmarkStart w:id="1210" w:name="_Toc3558"/>
      <w:bookmarkStart w:id="1211" w:name="_Toc19471"/>
      <w:bookmarkStart w:id="1212" w:name="_Toc13228"/>
      <w:bookmarkStart w:id="1213" w:name="_Toc28776"/>
      <w:bookmarkStart w:id="1214" w:name="_Toc3897"/>
      <w:bookmarkStart w:id="1215" w:name="_Hlk133487315"/>
      <w:bookmarkStart w:id="1216" w:name="_Hlk133487102"/>
      <w:bookmarkStart w:id="1217" w:name="_Hlk133487218"/>
      <w:r>
        <w:t xml:space="preserve">7.2.2.1 </w:t>
      </w:r>
      <w:r>
        <w:rPr>
          <w:rFonts w:hint="eastAsia"/>
        </w:rPr>
        <w:t>ATG</w:t>
      </w:r>
      <w:r>
        <w:t xml:space="preserve"> </w:t>
      </w:r>
      <w:r>
        <w:rPr>
          <w:rFonts w:hint="eastAsia"/>
        </w:rPr>
        <w:t>Ba</w:t>
      </w:r>
      <w:r>
        <w:t>se station power</w:t>
      </w:r>
      <w:bookmarkEnd w:id="1207"/>
      <w:bookmarkEnd w:id="1208"/>
      <w:bookmarkEnd w:id="1209"/>
      <w:bookmarkEnd w:id="1210"/>
      <w:bookmarkEnd w:id="1211"/>
      <w:bookmarkEnd w:id="1212"/>
      <w:bookmarkEnd w:id="1213"/>
      <w:bookmarkEnd w:id="1214"/>
      <w:r>
        <w:rPr>
          <w:lang w:eastAsia="zh-CN"/>
        </w:rPr>
        <w:t xml:space="preserve"> </w:t>
      </w:r>
    </w:p>
    <w:p>
      <w:pPr>
        <w:keepLines/>
        <w:rPr>
          <w:rFonts w:eastAsia="MS Mincho"/>
          <w:b/>
          <w:bCs/>
          <w:u w:val="single"/>
          <w:lang w:val="en-US" w:eastAsia="zh-CN"/>
        </w:rPr>
      </w:pPr>
      <w:r>
        <w:rPr>
          <w:rFonts w:eastAsia="MS Mincho"/>
          <w:b/>
          <w:bCs/>
          <w:u w:val="single"/>
          <w:lang w:val="en-US" w:eastAsia="zh-CN"/>
        </w:rPr>
        <w:t>Base station output power</w:t>
      </w:r>
    </w:p>
    <w:p>
      <w:pPr>
        <w:widowControl w:val="0"/>
        <w:spacing w:after="0"/>
      </w:pPr>
      <w:r>
        <w:rPr>
          <w:rFonts w:hint="eastAsia"/>
        </w:rPr>
        <w:t>C</w:t>
      </w:r>
      <w:r>
        <w:t xml:space="preserve">onsidering the large coverage </w:t>
      </w:r>
      <w:r>
        <w:rPr>
          <w:rFonts w:hint="eastAsia"/>
        </w:rPr>
        <w:t>requirement</w:t>
      </w:r>
      <w:r>
        <w:t>s of ATG system</w:t>
      </w:r>
      <w:r>
        <w:rPr>
          <w:rFonts w:hint="eastAsia" w:ascii="宋体" w:hAnsi="宋体" w:eastAsia="宋体" w:cs="宋体"/>
        </w:rPr>
        <w:t>,</w:t>
      </w:r>
      <w:r>
        <w:rPr>
          <w:rFonts w:ascii="宋体" w:hAnsi="宋体" w:eastAsia="宋体" w:cs="宋体"/>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pPr>
        <w:widowControl w:val="0"/>
        <w:spacing w:after="0"/>
        <w:rPr>
          <w:lang w:eastAsia="zh-CN"/>
        </w:rPr>
      </w:pPr>
    </w:p>
    <w:p>
      <w:pPr>
        <w:keepLines/>
        <w:rPr>
          <w:rFonts w:eastAsia="MS Mincho"/>
          <w:b/>
          <w:bCs/>
          <w:u w:val="single"/>
          <w:lang w:val="en-US" w:eastAsia="zh-CN"/>
        </w:rPr>
      </w:pPr>
      <w:r>
        <w:rPr>
          <w:rFonts w:hint="eastAsia" w:eastAsia="MS Mincho"/>
          <w:b/>
          <w:bCs/>
          <w:u w:val="single"/>
          <w:lang w:val="en-US" w:eastAsia="zh-CN"/>
        </w:rPr>
        <w:t>RE power control dynamic range</w:t>
      </w:r>
    </w:p>
    <w:p>
      <w:pPr>
        <w:rPr>
          <w:rFonts w:ascii="Arial" w:hAnsi="Arial" w:eastAsia="Arial"/>
          <w:sz w:val="24"/>
          <w:szCs w:val="22"/>
          <w:lang w:eastAsia="zh-CN"/>
        </w:rPr>
      </w:pPr>
      <w:r>
        <w:t>The RE power control dynamic range is the difference between the power of an RE and the average RE power for a BS at maximum output power for a specified reference condition.</w:t>
      </w:r>
    </w:p>
    <w:p>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pPr>
        <w:widowControl w:val="0"/>
        <w:spacing w:after="0"/>
        <w:rPr>
          <w:lang w:eastAsia="zh-CN"/>
        </w:rPr>
      </w:pPr>
    </w:p>
    <w:p>
      <w:pPr>
        <w:widowControl w:val="0"/>
        <w:spacing w:after="0"/>
        <w:rPr>
          <w:b/>
          <w:bCs/>
          <w:u w:val="single"/>
          <w:lang w:val="en-US" w:eastAsia="zh-CN"/>
        </w:rPr>
      </w:pPr>
      <w:r>
        <w:rPr>
          <w:rFonts w:hint="eastAsia"/>
          <w:b/>
          <w:bCs/>
          <w:u w:val="single"/>
          <w:lang w:val="en-US" w:eastAsia="zh-CN"/>
        </w:rPr>
        <w:t>Total power dynamic range</w:t>
      </w:r>
    </w:p>
    <w:p>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bookmarkEnd w:id="1215"/>
    <w:p>
      <w:pPr>
        <w:pStyle w:val="5"/>
        <w:spacing w:before="120" w:beforeAutospacing="1" w:after="312" w:afterLines="100"/>
        <w:ind w:left="899" w:right="200" w:rightChars="100"/>
        <w:outlineLvl w:val="3"/>
      </w:pPr>
      <w:bookmarkStart w:id="1218" w:name="_Toc15102"/>
      <w:bookmarkStart w:id="1219" w:name="_Toc14479"/>
      <w:bookmarkStart w:id="1220" w:name="_Toc25692"/>
      <w:bookmarkStart w:id="1221" w:name="_Toc12130"/>
      <w:bookmarkStart w:id="1222" w:name="_Toc3949"/>
      <w:bookmarkStart w:id="1223" w:name="_Toc26779"/>
      <w:bookmarkStart w:id="1224" w:name="_Toc20987"/>
      <w:bookmarkStart w:id="1225" w:name="_Toc8721"/>
      <w:r>
        <w:t>7.2.2.2 Transmitted signal quality</w:t>
      </w:r>
      <w:bookmarkEnd w:id="1218"/>
      <w:bookmarkEnd w:id="1219"/>
      <w:bookmarkEnd w:id="1220"/>
      <w:bookmarkEnd w:id="1221"/>
      <w:bookmarkEnd w:id="1222"/>
      <w:bookmarkEnd w:id="1223"/>
      <w:bookmarkEnd w:id="1224"/>
      <w:bookmarkEnd w:id="1225"/>
    </w:p>
    <w:p>
      <w:pPr>
        <w:keepLines/>
        <w:rPr>
          <w:rFonts w:eastAsia="MS Mincho"/>
          <w:b/>
          <w:bCs/>
          <w:u w:val="single"/>
          <w:lang w:val="en-US" w:eastAsia="zh-CN"/>
        </w:rPr>
      </w:pPr>
      <w:r>
        <w:rPr>
          <w:rFonts w:hint="eastAsia" w:eastAsia="MS Mincho"/>
          <w:b/>
          <w:bCs/>
          <w:u w:val="single"/>
          <w:lang w:val="en-US" w:eastAsia="zh-CN"/>
        </w:rPr>
        <w:t>Frequency error</w:t>
      </w:r>
    </w:p>
    <w:p>
      <w:pPr>
        <w:rPr>
          <w:rFonts w:eastAsia="宋体"/>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hint="eastAsia" w:ascii="宋体" w:hAnsi="宋体" w:eastAsia="宋体"/>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pPr>
        <w:rPr>
          <w:lang w:eastAsia="zh-CN"/>
        </w:rPr>
      </w:pPr>
      <w:r>
        <w:rPr>
          <w:rFonts w:hint="eastAsia" w:eastAsia="宋体"/>
          <w:lang w:val="en-US" w:eastAsia="zh-CN"/>
        </w:rPr>
        <w:t>C</w:t>
      </w:r>
      <w:r>
        <w:rPr>
          <w:rFonts w:eastAsia="宋体"/>
          <w:lang w:val="en-US" w:eastAsia="zh-CN"/>
        </w:rPr>
        <w:t xml:space="preserve">onsidering the </w:t>
      </w:r>
      <w:r>
        <w:rPr>
          <w:rFonts w:hint="eastAsia" w:eastAsia="宋体"/>
          <w:lang w:val="en-US" w:eastAsia="zh-CN"/>
        </w:rPr>
        <w:t>0.05ppm</w:t>
      </w:r>
      <w:r>
        <w:rPr>
          <w:rFonts w:eastAsia="宋体"/>
          <w:lang w:val="en-US" w:eastAsia="zh-CN"/>
        </w:rPr>
        <w:t xml:space="preserve"> </w:t>
      </w:r>
      <w:r>
        <w:rPr>
          <w:rFonts w:hint="eastAsia" w:eastAsia="宋体"/>
          <w:lang w:val="en-US" w:eastAsia="zh-CN"/>
        </w:rPr>
        <w:t xml:space="preserve">BS </w:t>
      </w:r>
      <w:r>
        <w:rPr>
          <w:rFonts w:eastAsia="宋体"/>
          <w:lang w:val="en-US" w:eastAsia="zh-CN"/>
        </w:rPr>
        <w:t>frequency error</w:t>
      </w:r>
      <w:r>
        <w:rPr>
          <w:rFonts w:hint="eastAsia" w:eastAsia="宋体"/>
          <w:lang w:val="en-US" w:eastAsia="zh-CN"/>
        </w:rPr>
        <w:t>,</w:t>
      </w:r>
      <w:r>
        <w:rPr>
          <w:rFonts w:eastAsia="宋体"/>
          <w:lang w:val="en-US" w:eastAsia="zh-CN"/>
        </w:rPr>
        <w:t xml:space="preserve"> </w:t>
      </w:r>
      <w:r>
        <w:rPr>
          <w:rFonts w:hint="eastAsia" w:eastAsia="宋体"/>
          <w:lang w:val="en-US" w:eastAsia="zh-CN"/>
        </w:rPr>
        <w:t>f</w:t>
      </w:r>
      <w:r>
        <w:rPr>
          <w:rFonts w:eastAsia="宋体"/>
          <w:lang w:val="en-US" w:eastAsia="zh-CN"/>
        </w:rPr>
        <w:t xml:space="preserve">or </w:t>
      </w:r>
      <w:r>
        <w:rPr>
          <w:rFonts w:hint="eastAsia" w:eastAsia="宋体"/>
          <w:lang w:val="en-US" w:eastAsia="zh-CN"/>
        </w:rPr>
        <w:t>2100</w:t>
      </w:r>
      <w:r>
        <w:rPr>
          <w:rFonts w:eastAsia="宋体"/>
          <w:lang w:val="en-US" w:eastAsia="zh-CN"/>
        </w:rPr>
        <w:t xml:space="preserve"> </w:t>
      </w:r>
      <w:r>
        <w:rPr>
          <w:rFonts w:hint="eastAsia" w:eastAsia="宋体"/>
          <w:lang w:val="en-US" w:eastAsia="zh-CN"/>
        </w:rPr>
        <w:t>MHz</w:t>
      </w:r>
      <w:r>
        <w:rPr>
          <w:rFonts w:eastAsia="宋体"/>
          <w:lang w:val="en-US" w:eastAsia="zh-CN"/>
        </w:rPr>
        <w:t>, it is</w:t>
      </w:r>
      <w:r>
        <w:rPr>
          <w:rFonts w:hint="eastAsia" w:eastAsia="宋体"/>
          <w:lang w:val="en-US" w:eastAsia="zh-CN"/>
        </w:rPr>
        <w:t xml:space="preserve"> 105</w:t>
      </w:r>
      <w:r>
        <w:rPr>
          <w:rFonts w:eastAsia="宋体"/>
          <w:lang w:val="en-US" w:eastAsia="zh-CN"/>
        </w:rPr>
        <w:t xml:space="preserve"> </w:t>
      </w:r>
      <w:r>
        <w:rPr>
          <w:rFonts w:hint="eastAsia" w:eastAsia="宋体"/>
          <w:lang w:val="en-US" w:eastAsia="zh-CN"/>
        </w:rPr>
        <w:t>Hz.</w:t>
      </w:r>
      <w:r>
        <w:rPr>
          <w:rFonts w:eastAsia="宋体"/>
          <w:lang w:val="en-US" w:eastAsia="zh-CN"/>
        </w:rPr>
        <w:t xml:space="preserve"> </w:t>
      </w:r>
      <w:r>
        <w:rPr>
          <w:rFonts w:hint="eastAsia" w:eastAsia="宋体"/>
          <w:lang w:val="en-US" w:eastAsia="zh-CN"/>
        </w:rPr>
        <w:t>F</w:t>
      </w:r>
      <w:r>
        <w:rPr>
          <w:rFonts w:eastAsia="宋体"/>
          <w:lang w:val="en-US" w:eastAsia="zh-CN"/>
        </w:rPr>
        <w:t>or ATG system, UE velocity can be reach up 900</w:t>
      </w:r>
      <w:r>
        <w:rPr>
          <w:rFonts w:hint="eastAsia" w:eastAsia="宋体"/>
          <w:lang w:val="en-US" w:eastAsia="zh-CN"/>
        </w:rPr>
        <w:t>-</w:t>
      </w:r>
      <w:r>
        <w:rPr>
          <w:rFonts w:eastAsia="宋体"/>
          <w:lang w:val="en-US" w:eastAsia="zh-CN"/>
        </w:rPr>
        <w:t>1200km</w:t>
      </w:r>
      <w:r>
        <w:rPr>
          <w:rFonts w:hint="eastAsia" w:eastAsia="宋体"/>
          <w:lang w:val="en-US" w:eastAsia="zh-CN"/>
        </w:rPr>
        <w:t>/</w:t>
      </w:r>
      <w:r>
        <w:rPr>
          <w:rFonts w:eastAsia="宋体"/>
          <w:lang w:val="en-US" w:eastAsia="zh-CN"/>
        </w:rPr>
        <w:t>h at cruising speed</w:t>
      </w:r>
      <w:r>
        <w:rPr>
          <w:lang w:eastAsia="zh-CN"/>
        </w:rPr>
        <w:t>, it can be seen that the more serious frequency offset is caused by the Doppler effect. The 0.05 ppm frequency offset has little impact on the system performance.</w:t>
      </w:r>
    </w:p>
    <w:p>
      <w:pPr>
        <w:keepLines/>
        <w:rPr>
          <w:rFonts w:ascii="宋体" w:hAnsi="宋体" w:eastAsia="宋体"/>
          <w:b/>
          <w:bCs/>
          <w:u w:val="single"/>
          <w:lang w:val="en-US" w:eastAsia="zh-CN"/>
        </w:rPr>
      </w:pPr>
      <w:r>
        <w:rPr>
          <w:rFonts w:eastAsia="MS Mincho"/>
          <w:b/>
          <w:bCs/>
          <w:u w:val="single"/>
          <w:lang w:val="en-US" w:eastAsia="zh-CN"/>
        </w:rPr>
        <w:t>Time alignment error</w:t>
      </w:r>
    </w:p>
    <w:p>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r>
        <w:t>TAE is only applicable for NR BS transmitting from multiple antennas via MIMO, CA, or combination of them.</w:t>
      </w:r>
    </w:p>
    <w:p>
      <w:r>
        <w:t xml:space="preserve">However, in ATG system, </w:t>
      </w:r>
      <w:r>
        <w:rPr>
          <w:rFonts w:eastAsia="宋体"/>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hint="eastAsia" w:eastAsia="宋体"/>
          <w:szCs w:val="24"/>
          <w:lang w:val="en-US" w:eastAsia="zh-CN"/>
        </w:rPr>
        <w:t>18</w:t>
      </w:r>
      <w:r>
        <w:rPr>
          <w:rFonts w:eastAsia="宋体"/>
          <w:szCs w:val="24"/>
        </w:rPr>
        <w:t>.</w:t>
      </w:r>
      <w:r>
        <w:t xml:space="preserve"> As a result, no TAE requirements need to be developed for ATG BS.</w:t>
      </w:r>
    </w:p>
    <w:p>
      <w:pPr>
        <w:keepLines/>
        <w:rPr>
          <w:rFonts w:eastAsia="MS Mincho"/>
          <w:b/>
          <w:bCs/>
          <w:u w:val="single"/>
          <w:lang w:val="en-US" w:eastAsia="zh-CN"/>
        </w:rPr>
      </w:pPr>
      <w:r>
        <w:rPr>
          <w:rFonts w:hint="eastAsia" w:eastAsia="MS Mincho"/>
          <w:b/>
          <w:bCs/>
          <w:u w:val="single"/>
          <w:lang w:val="en-US" w:eastAsia="zh-CN"/>
        </w:rPr>
        <w:t>Modulation quality</w:t>
      </w:r>
    </w:p>
    <w:p>
      <w:pPr>
        <w:rPr>
          <w:rFonts w:eastAsia="宋体"/>
          <w:lang w:val="en-US" w:eastAsia="zh-CN"/>
        </w:rPr>
      </w:pPr>
      <w:r>
        <w:t>I</w:t>
      </w:r>
      <w:r>
        <w:rPr>
          <w:rFonts w:hint="eastAsia"/>
        </w:rPr>
        <w:t xml:space="preserve">t is agreed to </w:t>
      </w:r>
      <w:r>
        <w:rPr>
          <w:rFonts w:hint="eastAsia" w:eastAsia="宋体"/>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hint="eastAsia" w:eastAsia="宋体"/>
          <w:lang w:val="en-US" w:eastAsia="zh-CN"/>
        </w:rPr>
        <w:t>, for the supported modulation order is up to the vendor</w:t>
      </w:r>
      <w:r>
        <w:rPr>
          <w:rFonts w:eastAsia="宋体"/>
          <w:lang w:val="en-US" w:eastAsia="zh-CN"/>
        </w:rPr>
        <w:t>’</w:t>
      </w:r>
      <w:r>
        <w:rPr>
          <w:rFonts w:hint="eastAsia" w:eastAsia="宋体"/>
          <w:lang w:val="en-US" w:eastAsia="zh-CN"/>
        </w:rPr>
        <w:t>s declaration.</w:t>
      </w:r>
    </w:p>
    <w:p>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pPr>
        <w:pStyle w:val="5"/>
        <w:spacing w:before="120" w:beforeAutospacing="1" w:after="312" w:afterLines="100"/>
        <w:ind w:left="899" w:right="200" w:rightChars="100"/>
        <w:outlineLvl w:val="3"/>
        <w:rPr>
          <w:lang w:val="en-US" w:eastAsia="zh-CN"/>
        </w:rPr>
      </w:pPr>
      <w:bookmarkStart w:id="1226" w:name="_Toc5749"/>
      <w:bookmarkStart w:id="1227" w:name="_Toc20088"/>
      <w:bookmarkStart w:id="1228" w:name="_Toc27176"/>
      <w:bookmarkStart w:id="1229" w:name="_Toc22474"/>
      <w:bookmarkStart w:id="1230" w:name="_Toc8067"/>
      <w:bookmarkStart w:id="1231" w:name="_Toc23018"/>
      <w:bookmarkStart w:id="1232" w:name="_Toc7209"/>
      <w:bookmarkStart w:id="1233" w:name="_Toc30732"/>
      <w:r>
        <w:t xml:space="preserve">7.2.2.3 </w:t>
      </w:r>
      <w:r>
        <w:rPr>
          <w:lang w:val="en-US" w:eastAsia="zh-CN"/>
        </w:rPr>
        <w:t>Un</w:t>
      </w:r>
      <w:r>
        <w:rPr>
          <w:rFonts w:hint="eastAsia"/>
          <w:lang w:val="en-US" w:eastAsia="zh-CN"/>
        </w:rPr>
        <w:t>wanted emission requirements</w:t>
      </w:r>
      <w:bookmarkEnd w:id="1226"/>
      <w:bookmarkEnd w:id="1227"/>
      <w:bookmarkEnd w:id="1228"/>
      <w:bookmarkEnd w:id="1229"/>
      <w:bookmarkEnd w:id="1230"/>
      <w:bookmarkEnd w:id="1231"/>
      <w:bookmarkEnd w:id="1232"/>
      <w:bookmarkEnd w:id="1233"/>
    </w:p>
    <w:p>
      <w:pPr>
        <w:keepLines/>
        <w:rPr>
          <w:rFonts w:eastAsia="MS Mincho"/>
          <w:b/>
          <w:bCs/>
          <w:u w:val="single"/>
          <w:lang w:val="en-US" w:eastAsia="zh-CN"/>
        </w:rPr>
      </w:pPr>
      <w:r>
        <w:rPr>
          <w:rFonts w:hint="eastAsia" w:eastAsia="MS Mincho"/>
          <w:b/>
          <w:bCs/>
          <w:u w:val="single"/>
          <w:lang w:val="en-US" w:eastAsia="zh-CN"/>
        </w:rPr>
        <w:t>Occupied bandwidth</w:t>
      </w:r>
    </w:p>
    <w:p>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pPr>
        <w:keepLines/>
        <w:rPr>
          <w:rFonts w:eastAsia="MS Mincho"/>
          <w:b/>
          <w:bCs/>
          <w:u w:val="single"/>
          <w:lang w:val="en-US" w:eastAsia="zh-CN"/>
        </w:rPr>
      </w:pPr>
      <w:r>
        <w:rPr>
          <w:rFonts w:eastAsia="MS Mincho"/>
          <w:b/>
          <w:bCs/>
          <w:u w:val="single"/>
          <w:lang w:val="en-US" w:eastAsia="zh-CN"/>
        </w:rPr>
        <w:t>Adjacent Channel Leakage Power Ratio (ACLR)</w:t>
      </w:r>
    </w:p>
    <w:p>
      <w:pPr>
        <w:tabs>
          <w:tab w:val="left" w:pos="2127"/>
        </w:tabs>
        <w:rPr>
          <w:rFonts w:eastAsia="宋体"/>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hint="eastAsia" w:eastAsia="宋体"/>
          <w:lang w:val="en-US" w:eastAsia="zh-CN"/>
        </w:rPr>
        <w:t>.</w:t>
      </w:r>
    </w:p>
    <w:p>
      <w:pPr>
        <w:keepLines/>
        <w:rPr>
          <w:rFonts w:eastAsia="MS Mincho"/>
          <w:b/>
          <w:bCs/>
          <w:u w:val="single"/>
          <w:lang w:val="en-US" w:eastAsia="zh-CN"/>
        </w:rPr>
      </w:pPr>
      <w:r>
        <w:rPr>
          <w:rFonts w:eastAsia="MS Mincho"/>
          <w:b/>
          <w:bCs/>
          <w:u w:val="single"/>
          <w:lang w:val="en-US" w:eastAsia="zh-CN"/>
        </w:rPr>
        <w:t>Operating band unwanted emissions</w:t>
      </w:r>
    </w:p>
    <w:p>
      <w:pPr>
        <w:rPr>
          <w:lang w:val="en-US"/>
        </w:rPr>
      </w:pPr>
      <w:r>
        <w:rPr>
          <w:lang w:val="en-US"/>
        </w:rPr>
        <w:t xml:space="preserve">ATG BS can follow Wide Area BS, that the UEM level in the spurious domain is aligned with ITU-R recommendation SM.329. </w:t>
      </w:r>
      <w:bookmarkEnd w:id="1216"/>
    </w:p>
    <w:bookmarkEnd w:id="1217"/>
    <w:p>
      <w:pPr>
        <w:pStyle w:val="5"/>
      </w:pPr>
      <w:bookmarkStart w:id="1234" w:name="_Toc31410"/>
      <w:bookmarkStart w:id="1235" w:name="_Toc10271"/>
      <w:bookmarkStart w:id="1236" w:name="_Toc19452"/>
      <w:bookmarkStart w:id="1237" w:name="_Toc27202"/>
      <w:bookmarkStart w:id="1238" w:name="_Toc133498169"/>
      <w:bookmarkStart w:id="1239" w:name="_Toc22957"/>
      <w:bookmarkStart w:id="1240" w:name="_Toc25760"/>
      <w:bookmarkStart w:id="1241" w:name="_Toc414"/>
      <w:bookmarkStart w:id="1242" w:name="_Toc10329"/>
      <w:bookmarkStart w:id="1243" w:name="_Toc15112"/>
      <w:r>
        <w:t>7.2.2.4 Transmitter spurious emissions</w:t>
      </w:r>
      <w:bookmarkEnd w:id="1234"/>
      <w:bookmarkEnd w:id="1235"/>
      <w:bookmarkEnd w:id="1236"/>
      <w:bookmarkEnd w:id="1237"/>
      <w:bookmarkEnd w:id="1238"/>
      <w:bookmarkEnd w:id="1239"/>
      <w:bookmarkEnd w:id="1240"/>
      <w:bookmarkEnd w:id="1241"/>
      <w:bookmarkEnd w:id="1242"/>
      <w:bookmarkEnd w:id="1243"/>
    </w:p>
    <w:p>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pPr>
        <w:pStyle w:val="5"/>
      </w:pPr>
      <w:bookmarkStart w:id="1244" w:name="_Toc24084"/>
      <w:bookmarkStart w:id="1245" w:name="_Toc133498170"/>
      <w:bookmarkStart w:id="1246" w:name="_Toc25516"/>
      <w:bookmarkStart w:id="1247" w:name="_Toc16560"/>
      <w:bookmarkStart w:id="1248" w:name="_Toc26151"/>
      <w:bookmarkStart w:id="1249" w:name="_Toc15782"/>
      <w:bookmarkStart w:id="1250" w:name="_Toc26973"/>
      <w:bookmarkStart w:id="1251" w:name="_Toc21453"/>
      <w:bookmarkStart w:id="1252" w:name="_Toc23881"/>
      <w:bookmarkStart w:id="1253" w:name="_Toc4607"/>
      <w:r>
        <w:t>7.2.2.5 Transmitter intermodulation</w:t>
      </w:r>
      <w:bookmarkEnd w:id="1244"/>
      <w:bookmarkEnd w:id="1245"/>
      <w:bookmarkEnd w:id="1246"/>
      <w:bookmarkEnd w:id="1247"/>
      <w:bookmarkEnd w:id="1248"/>
      <w:bookmarkEnd w:id="1249"/>
      <w:bookmarkEnd w:id="1250"/>
      <w:bookmarkEnd w:id="1251"/>
      <w:bookmarkEnd w:id="1252"/>
      <w:bookmarkEnd w:id="1253"/>
    </w:p>
    <w:p>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pPr>
        <w:pStyle w:val="4"/>
        <w:rPr>
          <w:lang w:eastAsia="zh-CN"/>
        </w:rPr>
      </w:pPr>
      <w:bookmarkStart w:id="1254" w:name="_Toc14563"/>
      <w:bookmarkStart w:id="1255" w:name="_Toc133498171"/>
      <w:bookmarkStart w:id="1256" w:name="_Toc30061"/>
      <w:bookmarkStart w:id="1257" w:name="_Toc3413"/>
      <w:bookmarkStart w:id="1258" w:name="_Toc5464"/>
      <w:bookmarkStart w:id="1259" w:name="_Toc1029"/>
      <w:bookmarkStart w:id="1260" w:name="_Toc607"/>
      <w:bookmarkStart w:id="1261" w:name="_Toc3275"/>
      <w:bookmarkStart w:id="1262" w:name="_Toc9450"/>
      <w:bookmarkStart w:id="1263" w:name="_Toc8516"/>
      <w:r>
        <w:rPr>
          <w:rFonts w:hint="eastAsia"/>
        </w:rPr>
        <w:t>7.2.</w:t>
      </w:r>
      <w:r>
        <w:rPr>
          <w:rFonts w:hint="eastAsia"/>
          <w:lang w:eastAsia="zh-CN"/>
        </w:rPr>
        <w:t>3</w:t>
      </w:r>
      <w:r>
        <w:rPr>
          <w:rFonts w:hint="eastAsia"/>
        </w:rPr>
        <w:t xml:space="preserve"> </w:t>
      </w:r>
      <w:r>
        <w:rPr>
          <w:rFonts w:hint="eastAsia"/>
          <w:lang w:eastAsia="zh-CN"/>
        </w:rPr>
        <w:t>Rx requirements</w:t>
      </w:r>
      <w:bookmarkEnd w:id="1254"/>
      <w:bookmarkEnd w:id="1255"/>
      <w:bookmarkEnd w:id="1256"/>
      <w:bookmarkEnd w:id="1257"/>
      <w:bookmarkEnd w:id="1258"/>
      <w:bookmarkEnd w:id="1259"/>
      <w:bookmarkEnd w:id="1260"/>
      <w:bookmarkEnd w:id="1261"/>
      <w:bookmarkEnd w:id="1262"/>
      <w:bookmarkEnd w:id="1263"/>
    </w:p>
    <w:p>
      <w:pPr>
        <w:pStyle w:val="5"/>
        <w:keepNext/>
        <w:keepLines/>
        <w:spacing w:before="120" w:after="240"/>
        <w:outlineLvl w:val="3"/>
      </w:pPr>
      <w:bookmarkStart w:id="1264" w:name="_Toc7878"/>
      <w:bookmarkStart w:id="1265" w:name="_Toc17455"/>
      <w:bookmarkStart w:id="1266" w:name="_Toc32424"/>
      <w:bookmarkStart w:id="1267" w:name="_Toc3194"/>
      <w:bookmarkStart w:id="1268" w:name="_Toc5980"/>
      <w:bookmarkStart w:id="1269" w:name="_Toc28894"/>
      <w:bookmarkStart w:id="1270" w:name="_Toc488"/>
      <w:bookmarkStart w:id="1271" w:name="_Toc18920"/>
      <w:r>
        <w:t xml:space="preserve">7.2.3.1 </w:t>
      </w:r>
      <w:bookmarkStart w:id="1272" w:name="_Hlk131952176"/>
      <w:r>
        <w:t>Reference sensitivity level</w:t>
      </w:r>
      <w:bookmarkEnd w:id="1264"/>
      <w:bookmarkEnd w:id="1265"/>
      <w:bookmarkEnd w:id="1266"/>
      <w:bookmarkEnd w:id="1267"/>
      <w:bookmarkEnd w:id="1268"/>
      <w:bookmarkEnd w:id="1269"/>
      <w:bookmarkEnd w:id="1270"/>
      <w:bookmarkEnd w:id="1271"/>
      <w:bookmarkEnd w:id="1272"/>
    </w:p>
    <w:p>
      <w:pPr>
        <w:rPr>
          <w:rFonts w:eastAsia="宋体"/>
        </w:rPr>
      </w:pPr>
      <w:r>
        <w:rPr>
          <w:rFonts w:eastAsia="宋体"/>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pPr>
        <w:pStyle w:val="5"/>
        <w:keepNext/>
        <w:keepLines/>
        <w:spacing w:before="120" w:after="240"/>
        <w:outlineLvl w:val="3"/>
      </w:pPr>
      <w:bookmarkStart w:id="1273" w:name="_Toc24153"/>
      <w:bookmarkStart w:id="1274" w:name="_Toc32469"/>
      <w:bookmarkStart w:id="1275" w:name="_Toc6171"/>
      <w:bookmarkStart w:id="1276" w:name="_Toc2323"/>
      <w:bookmarkStart w:id="1277" w:name="_Toc30538"/>
      <w:bookmarkStart w:id="1278" w:name="_Toc32366"/>
      <w:bookmarkStart w:id="1279" w:name="_Toc22973"/>
      <w:bookmarkStart w:id="1280" w:name="_Toc28188"/>
      <w:r>
        <w:t>7.2.3.2 Dynamic range</w:t>
      </w:r>
      <w:bookmarkEnd w:id="1273"/>
      <w:bookmarkEnd w:id="1274"/>
      <w:bookmarkEnd w:id="1275"/>
      <w:bookmarkEnd w:id="1276"/>
      <w:bookmarkEnd w:id="1277"/>
      <w:bookmarkEnd w:id="1278"/>
      <w:bookmarkEnd w:id="1279"/>
      <w:bookmarkEnd w:id="1280"/>
    </w:p>
    <w:p>
      <w:pPr>
        <w:rPr>
          <w:rFonts w:eastAsia="宋体"/>
        </w:rPr>
      </w:pPr>
      <w:r>
        <w:rPr>
          <w:rFonts w:eastAsia="宋体"/>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1281" w:name="_Hlk134979679"/>
      <w:r>
        <w:rPr>
          <w:rFonts w:eastAsia="宋体"/>
        </w:rPr>
        <w:t>The existing requirements specified in clause 7.3 of TS 38.104[5] can be reused for ATG BS type1-C, 1-H, and clause 10.4 of TS 38.104[5] can be reused for ATG BS type1-O.</w:t>
      </w:r>
      <w:bookmarkEnd w:id="1281"/>
    </w:p>
    <w:p>
      <w:pPr>
        <w:pStyle w:val="5"/>
        <w:keepNext/>
        <w:keepLines/>
        <w:spacing w:before="120" w:after="240"/>
        <w:outlineLvl w:val="3"/>
      </w:pPr>
      <w:bookmarkStart w:id="1282" w:name="_Toc20858"/>
      <w:bookmarkStart w:id="1283" w:name="_Toc29171"/>
      <w:bookmarkStart w:id="1284" w:name="_Toc133498172"/>
      <w:bookmarkStart w:id="1285" w:name="_Toc31217"/>
      <w:bookmarkStart w:id="1286" w:name="_Toc5966"/>
      <w:bookmarkStart w:id="1287" w:name="_Toc32250"/>
      <w:bookmarkStart w:id="1288" w:name="_Toc13202"/>
      <w:bookmarkStart w:id="1289" w:name="_Toc9855"/>
      <w:bookmarkStart w:id="1290" w:name="_Toc7924"/>
      <w:r>
        <w:t>7.2.3.3 ACS</w:t>
      </w:r>
      <w:bookmarkEnd w:id="1282"/>
      <w:bookmarkEnd w:id="1283"/>
      <w:bookmarkEnd w:id="1284"/>
      <w:bookmarkEnd w:id="1285"/>
      <w:bookmarkEnd w:id="1286"/>
      <w:bookmarkEnd w:id="1287"/>
      <w:bookmarkEnd w:id="1288"/>
      <w:bookmarkEnd w:id="1289"/>
      <w:bookmarkEnd w:id="1290"/>
    </w:p>
    <w:p>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pPr>
        <w:pStyle w:val="5"/>
        <w:keepNext/>
        <w:keepLines/>
        <w:overflowPunct/>
        <w:autoSpaceDE/>
        <w:autoSpaceDN/>
        <w:adjustRightInd/>
        <w:spacing w:before="120" w:after="240"/>
        <w:textAlignment w:val="auto"/>
        <w:outlineLvl w:val="3"/>
        <w:rPr>
          <w:lang w:eastAsia="en-US"/>
        </w:rPr>
      </w:pPr>
      <w:bookmarkStart w:id="1291" w:name="_Toc31213"/>
      <w:bookmarkStart w:id="1292" w:name="_Toc8462"/>
      <w:bookmarkStart w:id="1293" w:name="_Toc17771"/>
      <w:bookmarkStart w:id="1294" w:name="_Toc20155"/>
      <w:bookmarkStart w:id="1295" w:name="_Toc11498"/>
      <w:bookmarkStart w:id="1296" w:name="_Toc6424"/>
      <w:bookmarkStart w:id="1297" w:name="_Toc8556"/>
      <w:bookmarkStart w:id="1298" w:name="_Toc26436"/>
      <w:r>
        <w:rPr>
          <w:lang w:eastAsia="en-US"/>
        </w:rPr>
        <w:t>7.2.3.4 In-band blocking</w:t>
      </w:r>
      <w:bookmarkEnd w:id="1291"/>
      <w:bookmarkEnd w:id="1292"/>
      <w:bookmarkEnd w:id="1293"/>
      <w:bookmarkEnd w:id="1294"/>
      <w:bookmarkEnd w:id="1295"/>
      <w:bookmarkEnd w:id="1296"/>
      <w:bookmarkEnd w:id="1297"/>
      <w:bookmarkEnd w:id="1298"/>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pPr>
        <w:pStyle w:val="5"/>
        <w:keepNext/>
        <w:keepLines/>
        <w:overflowPunct/>
        <w:autoSpaceDE/>
        <w:autoSpaceDN/>
        <w:adjustRightInd/>
        <w:spacing w:before="120" w:after="240"/>
        <w:textAlignment w:val="auto"/>
        <w:outlineLvl w:val="3"/>
        <w:rPr>
          <w:lang w:eastAsia="en-US"/>
        </w:rPr>
      </w:pPr>
      <w:bookmarkStart w:id="1299" w:name="_Toc4545"/>
      <w:bookmarkStart w:id="1300" w:name="_Toc20605"/>
      <w:bookmarkStart w:id="1301" w:name="_Toc21895"/>
      <w:bookmarkStart w:id="1302" w:name="_Toc30601"/>
      <w:bookmarkStart w:id="1303" w:name="_Toc29645"/>
      <w:bookmarkStart w:id="1304" w:name="_Toc15970"/>
      <w:bookmarkStart w:id="1305" w:name="_Toc13113"/>
      <w:bookmarkStart w:id="1306" w:name="_Toc9280"/>
      <w:r>
        <w:rPr>
          <w:lang w:eastAsia="en-US"/>
        </w:rPr>
        <w:t>7.2.3.5 Receiver intermodulation</w:t>
      </w:r>
      <w:bookmarkEnd w:id="1299"/>
      <w:bookmarkEnd w:id="1300"/>
      <w:bookmarkEnd w:id="1301"/>
      <w:bookmarkEnd w:id="1302"/>
      <w:bookmarkEnd w:id="1303"/>
      <w:bookmarkEnd w:id="1304"/>
      <w:bookmarkEnd w:id="1305"/>
      <w:bookmarkEnd w:id="1306"/>
    </w:p>
    <w:p>
      <w:pPr>
        <w:overflowPunct/>
        <w:autoSpaceDE/>
        <w:autoSpaceDN/>
        <w:adjustRightInd/>
        <w:textAlignment w:val="auto"/>
        <w:rPr>
          <w:rFonts w:eastAsia="宋体"/>
          <w:lang w:val="en-US" w:eastAsia="zh-CN"/>
        </w:rPr>
      </w:pPr>
      <w:r>
        <w:rPr>
          <w:rFonts w:eastAsia="宋体"/>
          <w:lang w:val="en-US" w:eastAsia="zh-CN"/>
        </w:rPr>
        <w:t xml:space="preserve">Regarding the Rx intermodulation,  although it is not likely to have the coexistence scenario in which ATG BS is subject to intermodulation interferers with the </w:t>
      </w:r>
      <w:r>
        <w:rPr>
          <w:rFonts w:hint="eastAsia" w:eastAsia="宋体"/>
          <w:lang w:val="en-US" w:eastAsia="zh-CN"/>
        </w:rPr>
        <w:t xml:space="preserve">power </w:t>
      </w:r>
      <w:r>
        <w:rPr>
          <w:rFonts w:eastAsia="宋体"/>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hint="eastAsia" w:eastAsia="宋体"/>
          <w:lang w:val="en-US" w:eastAsia="zh-CN"/>
        </w:rPr>
        <w:t xml:space="preserve"> and it is agreed to reuse </w:t>
      </w:r>
      <w:r>
        <w:rPr>
          <w:rFonts w:eastAsia="宋体"/>
          <w:lang w:val="en-US" w:eastAsia="zh-CN"/>
        </w:rPr>
        <w:t xml:space="preserve">the </w:t>
      </w:r>
      <w:r>
        <w:rPr>
          <w:rFonts w:hint="eastAsia" w:eastAsia="宋体"/>
          <w:lang w:val="en-US" w:eastAsia="zh-CN"/>
        </w:rPr>
        <w:t>Rx IM requirement for FR1 WA BS for ATG BS.</w:t>
      </w:r>
    </w:p>
    <w:p>
      <w:pPr>
        <w:pStyle w:val="5"/>
        <w:keepNext/>
        <w:keepLines/>
        <w:overflowPunct/>
        <w:autoSpaceDE/>
        <w:autoSpaceDN/>
        <w:adjustRightInd/>
        <w:spacing w:before="120" w:after="240"/>
        <w:textAlignment w:val="auto"/>
        <w:outlineLvl w:val="3"/>
        <w:rPr>
          <w:lang w:eastAsia="en-US"/>
        </w:rPr>
      </w:pPr>
      <w:bookmarkStart w:id="1307" w:name="_Toc19358"/>
      <w:bookmarkStart w:id="1308" w:name="_Toc4780"/>
      <w:bookmarkStart w:id="1309" w:name="_Toc15114"/>
      <w:bookmarkStart w:id="1310" w:name="_Toc28561"/>
      <w:bookmarkStart w:id="1311" w:name="_Toc3582"/>
      <w:bookmarkStart w:id="1312" w:name="_Toc24289"/>
      <w:bookmarkStart w:id="1313" w:name="_Toc17283"/>
      <w:bookmarkStart w:id="1314" w:name="_Toc30777"/>
      <w:r>
        <w:rPr>
          <w:lang w:eastAsia="en-US"/>
        </w:rPr>
        <w:t>7.2.3.6 Out of band blocking</w:t>
      </w:r>
      <w:bookmarkEnd w:id="1307"/>
      <w:bookmarkEnd w:id="1308"/>
      <w:bookmarkEnd w:id="1309"/>
      <w:bookmarkEnd w:id="1310"/>
      <w:bookmarkEnd w:id="1311"/>
      <w:bookmarkEnd w:id="1312"/>
      <w:bookmarkEnd w:id="1313"/>
      <w:bookmarkEnd w:id="1314"/>
      <w:r>
        <w:rPr>
          <w:lang w:eastAsia="en-US"/>
        </w:rPr>
        <w:tab/>
      </w:r>
    </w:p>
    <w:p>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pPr>
        <w:pStyle w:val="5"/>
        <w:keepNext/>
        <w:keepLines/>
        <w:overflowPunct/>
        <w:autoSpaceDE/>
        <w:autoSpaceDN/>
        <w:adjustRightInd/>
        <w:spacing w:before="120" w:after="240"/>
        <w:textAlignment w:val="auto"/>
        <w:outlineLvl w:val="3"/>
        <w:rPr>
          <w:lang w:eastAsia="en-US"/>
        </w:rPr>
      </w:pPr>
      <w:bookmarkStart w:id="1315" w:name="_Toc746"/>
      <w:bookmarkStart w:id="1316" w:name="_Toc15365"/>
      <w:bookmarkStart w:id="1317" w:name="_Toc17288"/>
      <w:bookmarkStart w:id="1318" w:name="_Toc20752"/>
      <w:bookmarkStart w:id="1319" w:name="_Toc29964"/>
      <w:bookmarkStart w:id="1320" w:name="_Toc22142"/>
      <w:bookmarkStart w:id="1321" w:name="_Toc6464"/>
      <w:bookmarkStart w:id="1322" w:name="_Toc13683"/>
      <w:r>
        <w:rPr>
          <w:lang w:eastAsia="en-US"/>
        </w:rPr>
        <w:t>7.2.3.7 In-channel selectivity</w:t>
      </w:r>
      <w:bookmarkEnd w:id="1315"/>
      <w:bookmarkEnd w:id="1316"/>
      <w:bookmarkEnd w:id="1317"/>
      <w:bookmarkEnd w:id="1318"/>
      <w:bookmarkEnd w:id="1319"/>
      <w:bookmarkEnd w:id="1320"/>
      <w:bookmarkEnd w:id="1321"/>
      <w:bookmarkEnd w:id="1322"/>
    </w:p>
    <w:p>
      <w:pPr>
        <w:overflowPunct/>
        <w:autoSpaceDE/>
        <w:autoSpaceDN/>
        <w:adjustRightInd/>
        <w:textAlignment w:val="auto"/>
        <w:rPr>
          <w:rFonts w:eastAsia="宋体"/>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pPr>
        <w:pStyle w:val="2"/>
        <w:rPr>
          <w:lang w:val="sv-SE" w:eastAsia="zh-CN"/>
        </w:rPr>
      </w:pPr>
      <w:bookmarkStart w:id="1323" w:name="_Toc12855"/>
      <w:bookmarkStart w:id="1324" w:name="_Toc13470"/>
      <w:bookmarkStart w:id="1325" w:name="_Toc20306"/>
      <w:bookmarkStart w:id="1326" w:name="_Toc133498177"/>
      <w:bookmarkStart w:id="1327" w:name="_Toc2877"/>
      <w:bookmarkStart w:id="1328" w:name="_Toc11522"/>
      <w:bookmarkStart w:id="1329" w:name="_Toc22641"/>
      <w:bookmarkStart w:id="1330" w:name="_Toc4396"/>
      <w:bookmarkStart w:id="1331" w:name="_Toc15661"/>
      <w:bookmarkStart w:id="1332" w:name="_Toc1153"/>
      <w:r>
        <w:rPr>
          <w:rFonts w:hint="eastAsia"/>
          <w:lang w:val="sv-SE" w:eastAsia="zh-CN"/>
        </w:rPr>
        <w:t>8</w:t>
      </w:r>
      <w:r>
        <w:rPr>
          <w:lang w:val="sv-SE"/>
        </w:rPr>
        <w:tab/>
      </w:r>
      <w:r>
        <w:rPr>
          <w:rFonts w:hint="eastAsia"/>
          <w:lang w:val="sv-SE" w:eastAsia="zh-CN"/>
        </w:rPr>
        <w:t>RRM requirements</w:t>
      </w:r>
      <w:bookmarkEnd w:id="1323"/>
      <w:bookmarkEnd w:id="1324"/>
      <w:bookmarkEnd w:id="1325"/>
      <w:bookmarkEnd w:id="1326"/>
      <w:bookmarkEnd w:id="1327"/>
      <w:bookmarkEnd w:id="1328"/>
      <w:bookmarkEnd w:id="1329"/>
      <w:bookmarkEnd w:id="1330"/>
      <w:bookmarkEnd w:id="1331"/>
      <w:bookmarkEnd w:id="1332"/>
    </w:p>
    <w:p>
      <w:pPr>
        <w:pStyle w:val="3"/>
        <w:keepNext/>
        <w:keepLines/>
        <w:spacing w:before="120"/>
        <w:ind w:left="1134"/>
        <w:outlineLvl w:val="2"/>
      </w:pPr>
      <w:bookmarkStart w:id="1333" w:name="_Toc17892"/>
      <w:bookmarkStart w:id="1334" w:name="_Toc788"/>
      <w:bookmarkStart w:id="1335" w:name="_Toc13053"/>
      <w:bookmarkStart w:id="1336" w:name="_Toc16463"/>
      <w:bookmarkStart w:id="1337" w:name="_Toc30783"/>
      <w:bookmarkStart w:id="1338" w:name="_Toc20516"/>
      <w:bookmarkStart w:id="1339" w:name="_Toc30508"/>
      <w:bookmarkStart w:id="1340" w:name="_Toc11412"/>
      <w:r>
        <w:t>8.1 General</w:t>
      </w:r>
      <w:bookmarkEnd w:id="1333"/>
      <w:bookmarkEnd w:id="1334"/>
      <w:bookmarkEnd w:id="1335"/>
      <w:bookmarkEnd w:id="1336"/>
      <w:bookmarkEnd w:id="1337"/>
      <w:bookmarkEnd w:id="1338"/>
      <w:bookmarkEnd w:id="1339"/>
      <w:bookmarkEnd w:id="1340"/>
    </w:p>
    <w:p>
      <w:pPr>
        <w:overflowPunct/>
        <w:autoSpaceDE/>
        <w:autoSpaceDN/>
        <w:adjustRightInd/>
        <w:spacing w:after="0"/>
        <w:jc w:val="both"/>
        <w:textAlignment w:val="auto"/>
        <w:rPr>
          <w:rFonts w:eastAsia="宋体" w:cs="Courier New"/>
          <w:szCs w:val="24"/>
          <w:lang w:val="en-US" w:eastAsia="zh-CN"/>
        </w:rPr>
      </w:pPr>
      <w:r>
        <w:rPr>
          <w:rFonts w:hint="eastAsia" w:eastAsia="宋体" w:cs="Courier New"/>
          <w:szCs w:val="24"/>
          <w:lang w:val="en-US" w:eastAsia="zh-CN"/>
        </w:rPr>
        <w:t>I</w:t>
      </w:r>
      <w:r>
        <w:rPr>
          <w:rFonts w:eastAsia="宋体"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pPr>
        <w:overflowPunct/>
        <w:autoSpaceDE/>
        <w:autoSpaceDN/>
        <w:adjustRightInd/>
        <w:spacing w:after="0"/>
        <w:jc w:val="both"/>
        <w:textAlignment w:val="auto"/>
        <w:rPr>
          <w:rFonts w:eastAsia="宋体" w:cs="Courier New"/>
          <w:szCs w:val="24"/>
          <w:lang w:val="en-US" w:eastAsia="zh-CN"/>
        </w:rPr>
      </w:pPr>
      <w:r>
        <w:rPr>
          <w:rFonts w:eastAsia="宋体" w:cs="Courier New"/>
          <w:szCs w:val="24"/>
          <w:lang w:val="en-US" w:eastAsia="zh-CN"/>
        </w:rPr>
        <w:t xml:space="preserve">&lt;Editor’s </w:t>
      </w:r>
      <w:r>
        <w:rPr>
          <w:rFonts w:hint="eastAsia" w:eastAsia="宋体" w:cs="Courier New"/>
          <w:szCs w:val="24"/>
          <w:lang w:val="en-US" w:eastAsia="zh-CN"/>
        </w:rPr>
        <w:t>N</w:t>
      </w:r>
      <w:r>
        <w:rPr>
          <w:rFonts w:eastAsia="宋体" w:cs="Courier New"/>
          <w:szCs w:val="24"/>
          <w:lang w:val="en-US" w:eastAsia="zh-CN"/>
        </w:rPr>
        <w:t xml:space="preserve">ote: In table 8-1, the RRM requirements with square brackets are still under discussion, which may be updated according to the latest agreements. </w:t>
      </w:r>
    </w:p>
    <w:p>
      <w:pPr>
        <w:overflowPunct/>
        <w:autoSpaceDE/>
        <w:autoSpaceDN/>
        <w:adjustRightInd/>
        <w:spacing w:after="0"/>
        <w:jc w:val="center"/>
        <w:textAlignment w:val="auto"/>
        <w:rPr>
          <w:rFonts w:ascii="Arial" w:hAnsi="Arial" w:eastAsia="宋体" w:cs="Arial"/>
          <w:b/>
          <w:bCs/>
          <w:szCs w:val="24"/>
          <w:lang w:val="en-US" w:eastAsia="zh-CN"/>
        </w:rPr>
      </w:pPr>
      <w:r>
        <w:rPr>
          <w:rFonts w:hint="default" w:ascii="Arial" w:hAnsi="Arial" w:eastAsia="宋体" w:cs="Arial"/>
          <w:b/>
          <w:bCs/>
          <w:szCs w:val="24"/>
          <w:lang w:val="en-US" w:eastAsia="zh-CN"/>
        </w:rPr>
        <w:t>T</w:t>
      </w:r>
      <w:r>
        <w:rPr>
          <w:rFonts w:ascii="Arial" w:hAnsi="Arial" w:eastAsia="宋体" w:cs="Arial"/>
          <w:b/>
          <w:bCs/>
          <w:szCs w:val="24"/>
          <w:lang w:val="en-US" w:eastAsia="zh-CN"/>
        </w:rPr>
        <w:t>able 8-1: RRM requirements for R18 ATG which are different from legacy ground-based network requirements</w:t>
      </w:r>
    </w:p>
    <w:tbl>
      <w:tblPr>
        <w:tblStyle w:val="13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119"/>
        <w:gridCol w:w="3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838" w:type="dxa"/>
            <w:vAlign w:val="center"/>
          </w:tcPr>
          <w:p>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Requirement</w:t>
            </w:r>
          </w:p>
        </w:tc>
        <w:tc>
          <w:tcPr>
            <w:tcW w:w="3119" w:type="dxa"/>
          </w:tcPr>
          <w:p>
            <w:pPr>
              <w:overflowPunct/>
              <w:autoSpaceDE/>
              <w:autoSpaceDN/>
              <w:adjustRightInd/>
              <w:spacing w:after="0"/>
              <w:textAlignment w:val="auto"/>
              <w:rPr>
                <w:rFonts w:eastAsia="宋体" w:cs="Arial"/>
                <w:szCs w:val="24"/>
                <w:lang w:val="en-US" w:eastAsia="zh-CN"/>
              </w:rPr>
            </w:pPr>
            <w:r>
              <w:rPr>
                <w:rFonts w:hint="eastAsia" w:eastAsia="宋体" w:cs="Arial"/>
                <w:szCs w:val="24"/>
                <w:lang w:val="en-US" w:eastAsia="zh-CN"/>
              </w:rPr>
              <w:t>I</w:t>
            </w:r>
            <w:r>
              <w:rPr>
                <w:rFonts w:eastAsia="宋体" w:cs="Arial"/>
                <w:szCs w:val="24"/>
                <w:lang w:val="en-US" w:eastAsia="zh-CN"/>
              </w:rPr>
              <w:t>tem</w:t>
            </w:r>
          </w:p>
        </w:tc>
        <w:tc>
          <w:tcPr>
            <w:tcW w:w="3118" w:type="dxa"/>
            <w:vAlign w:val="center"/>
          </w:tcPr>
          <w:p>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Cell re-selection</w:t>
            </w:r>
          </w:p>
        </w:tc>
        <w:tc>
          <w:tcPr>
            <w:tcW w:w="3119" w:type="dxa"/>
            <w:vAlign w:val="top"/>
          </w:tcPr>
          <w:p>
            <w:pPr>
              <w:overflowPunct/>
              <w:autoSpaceDE/>
              <w:autoSpaceDN/>
              <w:adjustRightInd/>
              <w:spacing w:after="0"/>
              <w:textAlignment w:val="auto"/>
              <w:rPr>
                <w:rFonts w:ascii="Times New Roman" w:hAnsi="Times New Roman" w:eastAsia="Times New Roman" w:cs="Courier New"/>
                <w:szCs w:val="24"/>
                <w:lang w:val="en-US" w:eastAsia="zh-CN" w:bidi="ar-SA"/>
              </w:rPr>
            </w:pPr>
            <w:r>
              <w:rPr>
                <w:rFonts w:cs="Courier New"/>
                <w:szCs w:val="24"/>
                <w:lang w:val="en-US" w:eastAsia="zh-CN"/>
              </w:rPr>
              <w:t>Cell re-selection measurement requirements for int</w:t>
            </w:r>
            <w:r>
              <w:rPr>
                <w:rFonts w:hint="eastAsia" w:cs="Courier New"/>
                <w:szCs w:val="24"/>
                <w:lang w:val="en-US" w:eastAsia="zh-CN"/>
              </w:rPr>
              <w:t>ra</w:t>
            </w:r>
            <w:r>
              <w:rPr>
                <w:rFonts w:cs="Courier New"/>
                <w:szCs w:val="24"/>
                <w:lang w:val="en-US" w:eastAsia="zh-CN"/>
              </w:rPr>
              <w:t>-frequency measurement</w:t>
            </w:r>
          </w:p>
        </w:tc>
        <w:tc>
          <w:tcPr>
            <w:tcW w:w="3118" w:type="dxa"/>
            <w:vAlign w:val="top"/>
          </w:tcPr>
          <w:p>
            <w:pPr>
              <w:pStyle w:val="106"/>
              <w:numPr>
                <w:ilvl w:val="255"/>
                <w:numId w:val="0"/>
              </w:numPr>
              <w:spacing w:after="180"/>
              <w:rPr>
                <w:rFonts w:ascii="Times New Roman" w:hAnsi="Times New Roman" w:eastAsia="宋体"/>
                <w:szCs w:val="20"/>
                <w:lang w:eastAsia="ja-JP"/>
              </w:rPr>
            </w:pPr>
            <w:r>
              <w:rPr>
                <w:rFonts w:hint="eastAsia" w:ascii="Times New Roman" w:hAnsi="Times New Roman" w:eastAsia="宋体"/>
                <w:szCs w:val="20"/>
                <w:lang w:eastAsia="ja-JP"/>
              </w:rPr>
              <w:t xml:space="preserve">Introduce </w:t>
            </w:r>
            <w:r>
              <w:rPr>
                <w:rFonts w:hint="eastAsia" w:ascii="Times New Roman" w:hAnsi="Times New Roman" w:eastAsia="宋体"/>
                <w:szCs w:val="20"/>
              </w:rPr>
              <w:t>scaling factor N for L3 measurements for ATG UEs with [antenna arrays]</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 xml:space="preserve">N = </w:t>
            </w:r>
            <w:r>
              <w:rPr>
                <w:rFonts w:hint="eastAsia" w:ascii="Times New Roman" w:hAnsi="Times New Roman" w:eastAsia="宋体"/>
                <w:szCs w:val="20"/>
                <w:lang w:val="en-US"/>
              </w:rPr>
              <w:t>3</w:t>
            </w:r>
            <w:r>
              <w:rPr>
                <w:rFonts w:hint="eastAsia" w:ascii="Times New Roman" w:hAnsi="Times New Roman" w:eastAsia="宋体"/>
                <w:szCs w:val="20"/>
              </w:rPr>
              <w:t xml:space="preserve"> for the case when network assistance on ATG cells reference locations is provided</w:t>
            </w:r>
          </w:p>
          <w:p>
            <w:pPr>
              <w:pStyle w:val="106"/>
              <w:numPr>
                <w:ilvl w:val="0"/>
                <w:numId w:val="9"/>
              </w:numPr>
              <w:spacing w:after="180"/>
              <w:ind w:left="-24" w:leftChars="0" w:firstLine="400" w:firstLineChars="200"/>
              <w:rPr>
                <w:rFonts w:ascii="等线" w:hAnsi="等线" w:eastAsia="宋体" w:cs="Courier New"/>
                <w:iCs/>
                <w:szCs w:val="24"/>
                <w:lang w:val="en-US" w:eastAsia="zh-CN" w:bidi="ar-SA"/>
              </w:rPr>
            </w:pPr>
            <w:r>
              <w:rPr>
                <w:rFonts w:hint="eastAsia" w:ascii="Times New Roman" w:hAnsi="Times New Roman" w:eastAsia="宋体"/>
                <w:szCs w:val="20"/>
              </w:rPr>
              <w:t>N = 4 otherwise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9" w:hRule="atLeast"/>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vAlign w:val="top"/>
          </w:tcPr>
          <w:p>
            <w:pPr>
              <w:overflowPunct/>
              <w:autoSpaceDE/>
              <w:autoSpaceDN/>
              <w:adjustRightInd/>
              <w:spacing w:after="0"/>
              <w:textAlignment w:val="auto"/>
              <w:rPr>
                <w:rFonts w:ascii="Times New Roman" w:hAnsi="Times New Roman" w:eastAsia="宋体" w:cs="Courier New"/>
                <w:szCs w:val="24"/>
                <w:lang w:val="en-US" w:eastAsia="zh-CN" w:bidi="ar-SA"/>
              </w:rPr>
            </w:pPr>
            <w:r>
              <w:rPr>
                <w:rFonts w:cs="Courier New"/>
                <w:szCs w:val="24"/>
                <w:lang w:val="en-US" w:eastAsia="zh-CN"/>
              </w:rPr>
              <w:t>Cell re-selection measurement requirements for inter-frequency measurement</w:t>
            </w:r>
          </w:p>
        </w:tc>
        <w:tc>
          <w:tcPr>
            <w:tcW w:w="3118" w:type="dxa"/>
            <w:vAlign w:val="top"/>
          </w:tcPr>
          <w:p>
            <w:pPr>
              <w:overflowPunct/>
              <w:autoSpaceDE/>
              <w:autoSpaceDN/>
              <w:adjustRightInd/>
              <w:spacing w:after="0"/>
              <w:textAlignment w:val="auto"/>
              <w:rPr>
                <w:rFonts w:eastAsia="宋体" w:cs="Courier New"/>
                <w:lang w:val="en-US" w:eastAsia="zh-CN"/>
              </w:rPr>
            </w:pPr>
            <w:r>
              <w:rPr>
                <w:rFonts w:eastAsia="宋体" w:cs="Courier New"/>
                <w:iCs/>
                <w:lang w:val="en-US" w:eastAsia="zh-CN"/>
              </w:rPr>
              <w:t>Define two set of cell detection requirements for ATG</w:t>
            </w:r>
          </w:p>
          <w:p>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 xml:space="preserve">Set 1: legacy R15 cell-reselection requirement </w:t>
            </w:r>
          </w:p>
          <w:p>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Set 2: R17 HST cell-reselection requirement</w:t>
            </w:r>
          </w:p>
          <w:p>
            <w:pPr>
              <w:pStyle w:val="106"/>
              <w:numPr>
                <w:ilvl w:val="255"/>
                <w:numId w:val="0"/>
              </w:numPr>
              <w:spacing w:after="180"/>
              <w:rPr>
                <w:rFonts w:ascii="Times New Roman" w:hAnsi="Times New Roman" w:eastAsia="宋体"/>
                <w:szCs w:val="20"/>
                <w:lang w:eastAsia="ja-JP"/>
              </w:rPr>
            </w:pPr>
            <w:r>
              <w:rPr>
                <w:rFonts w:hint="eastAsia" w:ascii="Times New Roman" w:hAnsi="Times New Roman" w:eastAsia="宋体"/>
                <w:szCs w:val="20"/>
                <w:lang w:eastAsia="ja-JP"/>
              </w:rPr>
              <w:t xml:space="preserve">Introduce </w:t>
            </w:r>
            <w:r>
              <w:rPr>
                <w:rFonts w:hint="eastAsia" w:ascii="Times New Roman" w:hAnsi="Times New Roman" w:eastAsia="宋体"/>
                <w:szCs w:val="20"/>
              </w:rPr>
              <w:t>scaling factor N for L3 measurements for ATG UEs with [antenna arrays]</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 xml:space="preserve">N = </w:t>
            </w:r>
            <w:r>
              <w:rPr>
                <w:rFonts w:hint="eastAsia" w:ascii="Times New Roman" w:hAnsi="Times New Roman" w:eastAsia="宋体"/>
                <w:szCs w:val="20"/>
                <w:lang w:val="en-US"/>
              </w:rPr>
              <w:t>3</w:t>
            </w:r>
            <w:r>
              <w:rPr>
                <w:rFonts w:hint="eastAsia" w:ascii="Times New Roman" w:hAnsi="Times New Roman" w:eastAsia="宋体"/>
                <w:szCs w:val="20"/>
              </w:rPr>
              <w:t xml:space="preserve"> for the case when network assistance on ATG cells reference locations is provided</w:t>
            </w:r>
          </w:p>
          <w:p>
            <w:pPr>
              <w:pStyle w:val="106"/>
              <w:numPr>
                <w:ilvl w:val="0"/>
                <w:numId w:val="9"/>
              </w:numPr>
              <w:spacing w:after="180"/>
              <w:ind w:left="-24"/>
              <w:rPr>
                <w:rFonts w:ascii="Times New Roman" w:hAnsi="Times New Roman" w:eastAsia="宋体" w:cs="Courier New"/>
                <w:iCs/>
                <w:szCs w:val="24"/>
                <w:lang w:val="en-US" w:eastAsia="zh-CN" w:bidi="ar-SA"/>
              </w:rPr>
            </w:pPr>
            <w:r>
              <w:rPr>
                <w:rFonts w:hint="eastAsia" w:ascii="Times New Roman" w:hAnsi="Times New Roman" w:eastAsia="宋体"/>
                <w:szCs w:val="20"/>
              </w:rPr>
              <w:t>N = 4 otherwise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Handover</w:t>
            </w: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Interruption time</w:t>
            </w:r>
          </w:p>
        </w:tc>
        <w:tc>
          <w:tcPr>
            <w:tcW w:w="3118" w:type="dxa"/>
          </w:tcPr>
          <w:p>
            <w:pPr>
              <w:overflowPunct/>
              <w:autoSpaceDE/>
              <w:autoSpaceDN/>
              <w:adjustRightInd/>
              <w:spacing w:after="0"/>
              <w:textAlignment w:val="auto"/>
              <w:rPr>
                <w:rFonts w:hint="eastAsia" w:eastAsia="宋体" w:cs="Courier New"/>
                <w:szCs w:val="24"/>
                <w:lang w:val="en-US" w:eastAsia="zh-CN"/>
              </w:rPr>
            </w:pPr>
            <w:r>
              <w:rPr>
                <w:rFonts w:hint="eastAsia" w:eastAsia="宋体" w:cs="Courier New"/>
                <w:szCs w:val="24"/>
                <w:lang w:val="en-US" w:eastAsia="zh-CN"/>
              </w:rPr>
              <w:t xml:space="preserve">Fpr ATG UE with [antenna arrays], </w:t>
            </w:r>
          </w:p>
          <w:p>
            <w:pPr>
              <w:overflowPunct/>
              <w:autoSpaceDE/>
              <w:autoSpaceDN/>
              <w:adjustRightInd/>
              <w:spacing w:after="0"/>
              <w:textAlignment w:val="auto"/>
              <w:rPr>
                <w:rFonts w:hint="eastAsia" w:eastAsia="宋体" w:cs="Courier New"/>
                <w:szCs w:val="24"/>
                <w:lang w:val="en-US" w:eastAsia="zh-CN"/>
              </w:rPr>
            </w:pPr>
            <w:r>
              <w:rPr>
                <w:rFonts w:hint="eastAsia" w:eastAsia="宋体" w:cs="Courier New"/>
                <w:szCs w:val="24"/>
                <w:lang w:val="en-US" w:eastAsia="zh-CN"/>
              </w:rPr>
              <w:t>when network assistance on ATG unknown target cell</w:t>
            </w:r>
            <w:r>
              <w:rPr>
                <w:rFonts w:hint="default" w:eastAsia="宋体" w:cs="Courier New"/>
                <w:szCs w:val="24"/>
                <w:lang w:val="en-US" w:eastAsia="zh-CN"/>
              </w:rPr>
              <w:t>’</w:t>
            </w:r>
            <w:r>
              <w:rPr>
                <w:rFonts w:hint="eastAsia" w:eastAsia="宋体" w:cs="Courier New"/>
                <w:szCs w:val="24"/>
                <w:lang w:val="en-US" w:eastAsia="zh-CN"/>
              </w:rPr>
              <w:t>s reference BS locations is provided, the T</w:t>
            </w:r>
            <w:r>
              <w:rPr>
                <w:rFonts w:hint="eastAsia" w:eastAsia="宋体" w:cs="Courier New"/>
                <w:szCs w:val="24"/>
                <w:vertAlign w:val="subscript"/>
                <w:lang w:val="en-US" w:eastAsia="zh-CN"/>
              </w:rPr>
              <w:t xml:space="preserve">search </w:t>
            </w:r>
            <w:r>
              <w:rPr>
                <w:rFonts w:hint="eastAsia" w:eastAsia="宋体" w:cs="Courier New"/>
                <w:szCs w:val="24"/>
                <w:lang w:val="en-US" w:eastAsia="zh-CN"/>
              </w:rPr>
              <w:t>should be scaled with scaling factor N= 2</w:t>
            </w:r>
          </w:p>
          <w:p>
            <w:pPr>
              <w:overflowPunct/>
              <w:autoSpaceDE/>
              <w:autoSpaceDN/>
              <w:adjustRightInd/>
              <w:spacing w:after="0"/>
              <w:textAlignment w:val="auto"/>
              <w:rPr>
                <w:rFonts w:hint="eastAsia" w:eastAsia="宋体" w:cs="Courier New"/>
                <w:szCs w:val="24"/>
                <w:lang w:val="en-US" w:eastAsia="zh-CN"/>
              </w:rPr>
            </w:pPr>
            <w:r>
              <w:rPr>
                <w:rFonts w:hint="eastAsia" w:eastAsia="宋体" w:cs="Courier New"/>
                <w:szCs w:val="24"/>
                <w:lang w:val="en-US" w:eastAsia="zh-CN"/>
              </w:rPr>
              <w:t>when network assistance on ATG unknown target cell</w:t>
            </w:r>
            <w:r>
              <w:rPr>
                <w:rFonts w:hint="default" w:eastAsia="宋体" w:cs="Courier New"/>
                <w:szCs w:val="24"/>
                <w:lang w:val="en-US" w:eastAsia="zh-CN"/>
              </w:rPr>
              <w:t>’</w:t>
            </w:r>
            <w:r>
              <w:rPr>
                <w:rFonts w:hint="eastAsia" w:eastAsia="宋体" w:cs="Courier New"/>
                <w:szCs w:val="24"/>
                <w:lang w:val="en-US" w:eastAsia="zh-CN"/>
              </w:rPr>
              <w:t>s reference BS locations is not provided, the T</w:t>
            </w:r>
            <w:r>
              <w:rPr>
                <w:rFonts w:hint="eastAsia" w:eastAsia="宋体" w:cs="Courier New"/>
                <w:szCs w:val="24"/>
                <w:vertAlign w:val="subscript"/>
                <w:lang w:val="en-US" w:eastAsia="zh-CN"/>
              </w:rPr>
              <w:t>search</w:t>
            </w:r>
            <w:r>
              <w:rPr>
                <w:rFonts w:hint="eastAsia" w:eastAsia="宋体" w:cs="Courier New"/>
                <w:szCs w:val="24"/>
                <w:lang w:val="en-US" w:eastAsia="zh-CN"/>
              </w:rPr>
              <w:t xml:space="preserve"> should be scaled with scaling factor N=4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w:t>
            </w:r>
          </w:p>
        </w:tc>
        <w:tc>
          <w:tcPr>
            <w:tcW w:w="3119"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 mechanism</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Introduce location-based CHO for ATG, reusing the procedure in R17 NTN for R18 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RRC Re-establishment delay requirement</w:t>
            </w:r>
          </w:p>
        </w:tc>
        <w:tc>
          <w:tcPr>
            <w:tcW w:w="3119" w:type="dxa"/>
          </w:tcPr>
          <w:p>
            <w:pPr>
              <w:overflowPunct/>
              <w:autoSpaceDE/>
              <w:autoSpaceDN/>
              <w:adjustRightInd/>
              <w:spacing w:after="0"/>
              <w:textAlignment w:val="auto"/>
              <w:rPr>
                <w:rFonts w:eastAsia="宋体" w:cs="Courier New"/>
                <w:szCs w:val="24"/>
                <w:lang w:val="en-US" w:eastAsia="zh-CN"/>
              </w:rPr>
            </w:pPr>
            <w:r>
              <w:rPr>
                <w:lang w:val="en-US" w:eastAsia="zh-CN"/>
              </w:rPr>
              <w:t>UE Re-establishment delay requirement</w:t>
            </w:r>
          </w:p>
        </w:tc>
        <w:tc>
          <w:tcPr>
            <w:tcW w:w="311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For ATG UE with [antenna array]</w:t>
            </w:r>
          </w:p>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Introduce scaling factor for unknown cell case</w:t>
            </w:r>
          </w:p>
          <w:p>
            <w:pPr>
              <w:numPr>
                <w:ilvl w:val="0"/>
                <w:numId w:val="11"/>
              </w:numPr>
              <w:overflowPunct/>
              <w:autoSpaceDE/>
              <w:autoSpaceDN/>
              <w:adjustRightInd/>
              <w:spacing w:after="0"/>
              <w:ind w:left="420" w:hanging="420"/>
              <w:textAlignment w:val="auto"/>
              <w:rPr>
                <w:rFonts w:hint="eastAsia" w:eastAsia="宋体" w:cs="Courier New"/>
                <w:szCs w:val="24"/>
                <w:lang w:val="en-US" w:eastAsia="zh-CN"/>
              </w:rPr>
            </w:pPr>
            <w:r>
              <w:rPr>
                <w:rFonts w:hint="eastAsia" w:eastAsia="宋体" w:cs="Courier New"/>
                <w:szCs w:val="24"/>
                <w:lang w:val="en-US" w:eastAsia="zh-CN"/>
              </w:rPr>
              <w:t>When network assistance on ATG cells reference location of the target cell is provided to UE, N = 3</w:t>
            </w:r>
          </w:p>
          <w:p>
            <w:pPr>
              <w:numPr>
                <w:ilvl w:val="0"/>
                <w:numId w:val="11"/>
              </w:numPr>
              <w:overflowPunct/>
              <w:autoSpaceDE/>
              <w:autoSpaceDN/>
              <w:adjustRightInd/>
              <w:spacing w:after="0"/>
              <w:ind w:left="420" w:hanging="420"/>
              <w:textAlignment w:val="auto"/>
              <w:rPr>
                <w:rFonts w:hint="eastAsia" w:eastAsia="宋体" w:cs="Courier New"/>
                <w:szCs w:val="24"/>
                <w:lang w:val="en-US" w:eastAsia="zh-CN"/>
              </w:rPr>
            </w:pPr>
            <w:r>
              <w:rPr>
                <w:rFonts w:hint="eastAsia" w:eastAsia="宋体" w:cs="Courier New"/>
                <w:szCs w:val="24"/>
                <w:lang w:val="en-US" w:eastAsia="zh-CN"/>
              </w:rPr>
              <w:t>Otherwise, N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pPr>
              <w:overflowPunct/>
              <w:autoSpaceDE/>
              <w:autoSpaceDN/>
              <w:adjustRightInd/>
              <w:spacing w:after="0"/>
              <w:textAlignment w:val="auto"/>
              <w:rPr>
                <w:rFonts w:hint="eastAsia" w:eastAsia="宋体" w:cs="Courier New"/>
                <w:szCs w:val="24"/>
                <w:lang w:val="en-US" w:eastAsia="zh-CN"/>
              </w:rPr>
            </w:pPr>
            <w:r>
              <w:rPr>
                <w:lang w:val="en-US" w:eastAsia="zh-CN"/>
              </w:rPr>
              <w:t>RRC connection release with redirection</w:t>
            </w:r>
          </w:p>
        </w:tc>
        <w:tc>
          <w:tcPr>
            <w:tcW w:w="3119" w:type="dxa"/>
          </w:tcPr>
          <w:p>
            <w:pPr>
              <w:overflowPunct/>
              <w:autoSpaceDE/>
              <w:autoSpaceDN/>
              <w:adjustRightInd/>
              <w:spacing w:after="0"/>
              <w:textAlignment w:val="auto"/>
              <w:rPr>
                <w:lang w:val="en-US" w:eastAsia="zh-CN"/>
              </w:rPr>
            </w:pPr>
            <w:r>
              <w:rPr>
                <w:lang w:val="en-US" w:eastAsia="zh-CN"/>
              </w:rPr>
              <w:t>RRC connection release with redirection to NR</w:t>
            </w:r>
          </w:p>
        </w:tc>
        <w:tc>
          <w:tcPr>
            <w:tcW w:w="311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For ATG UE with [antenna array]</w:t>
            </w:r>
          </w:p>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Introduce scaling factor</w:t>
            </w:r>
          </w:p>
          <w:p>
            <w:pPr>
              <w:numPr>
                <w:ilvl w:val="0"/>
                <w:numId w:val="11"/>
              </w:numPr>
              <w:overflowPunct/>
              <w:autoSpaceDE/>
              <w:autoSpaceDN/>
              <w:adjustRightInd/>
              <w:spacing w:after="0"/>
              <w:ind w:left="420" w:hanging="420"/>
              <w:textAlignment w:val="auto"/>
              <w:rPr>
                <w:rFonts w:hint="eastAsia" w:eastAsia="宋体" w:cs="Courier New"/>
                <w:szCs w:val="24"/>
                <w:lang w:val="en-US" w:eastAsia="zh-CN"/>
              </w:rPr>
            </w:pPr>
            <w:r>
              <w:rPr>
                <w:rFonts w:hint="eastAsia" w:eastAsia="宋体" w:cs="Courier New"/>
                <w:szCs w:val="24"/>
                <w:lang w:val="en-US" w:eastAsia="zh-CN"/>
              </w:rPr>
              <w:t>When network assistance on ATG cells reference location of the target cell is provided to UE, N = 3</w:t>
            </w:r>
          </w:p>
          <w:p>
            <w:pPr>
              <w:numPr>
                <w:ilvl w:val="0"/>
                <w:numId w:val="11"/>
              </w:numPr>
              <w:overflowPunct/>
              <w:autoSpaceDE/>
              <w:autoSpaceDN/>
              <w:adjustRightInd/>
              <w:spacing w:after="0"/>
              <w:ind w:left="420" w:hanging="420"/>
              <w:textAlignment w:val="auto"/>
              <w:rPr>
                <w:rFonts w:hint="eastAsia" w:eastAsia="宋体" w:cs="Courier New"/>
                <w:szCs w:val="24"/>
                <w:lang w:val="en-US" w:eastAsia="zh-CN"/>
              </w:rPr>
            </w:pPr>
            <w:r>
              <w:rPr>
                <w:rFonts w:hint="eastAsia" w:ascii="Times New Roman" w:hAnsi="Times New Roman" w:eastAsia="宋体" w:cs="Courier New"/>
                <w:szCs w:val="24"/>
                <w:lang w:val="en-US" w:eastAsia="zh-CN"/>
              </w:rPr>
              <w:t>Otherwise, N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UE transmit timing</w:t>
            </w:r>
          </w:p>
        </w:tc>
        <w:tc>
          <w:tcPr>
            <w:tcW w:w="3119"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Initial transmit timing requirements T</w:t>
            </w:r>
            <w:r>
              <w:rPr>
                <w:rFonts w:eastAsia="宋体" w:cs="Courier New"/>
                <w:szCs w:val="24"/>
                <w:vertAlign w:val="subscript"/>
                <w:lang w:val="en-US" w:eastAsia="zh-CN"/>
              </w:rPr>
              <w:t>e</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Involve UE pre-compensation timing error</w:t>
            </w:r>
            <w:r>
              <w:rPr>
                <w:rFonts w:hint="eastAsia" w:eastAsia="宋体" w:cs="Courier New"/>
                <w:szCs w:val="24"/>
                <w:lang w:val="en-US" w:eastAsia="zh-CN"/>
              </w:rPr>
              <w:t>,</w:t>
            </w:r>
            <w:r>
              <w:rPr>
                <w:rFonts w:eastAsia="宋体" w:cs="Courier New"/>
                <w:szCs w:val="24"/>
                <w:lang w:val="en-US" w:eastAsia="zh-CN"/>
              </w:rPr>
              <w:t xml:space="preserve"> GNSS error=40m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Gradual timing adjustment requirement</w:t>
            </w:r>
          </w:p>
        </w:tc>
        <w:tc>
          <w:tcPr>
            <w:tcW w:w="3118" w:type="dxa"/>
          </w:tcPr>
          <w:p>
            <w:pPr>
              <w:overflowPunct/>
              <w:autoSpaceDE/>
              <w:autoSpaceDN/>
              <w:adjustRightInd/>
              <w:spacing w:after="0"/>
              <w:textAlignment w:val="auto"/>
              <w:rPr>
                <w:rFonts w:hint="default" w:eastAsia="宋体" w:cs="Courier New"/>
                <w:szCs w:val="24"/>
                <w:lang w:val="en-US" w:eastAsia="zh-CN"/>
              </w:rPr>
            </w:pPr>
            <w:r>
              <w:rPr>
                <w:rFonts w:hint="eastAsia" w:eastAsia="宋体" w:cs="Courier New"/>
                <w:szCs w:val="24"/>
                <w:lang w:val="en-US" w:eastAsia="zh-CN"/>
              </w:rPr>
              <w:t>Involve the timing drift caused by UE mobility, 1200km/h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T</w:t>
            </w:r>
            <w:r>
              <w:rPr>
                <w:rFonts w:eastAsia="宋体" w:cs="Courier New"/>
                <w:szCs w:val="24"/>
                <w:lang w:val="en-US" w:eastAsia="zh-CN"/>
              </w:rPr>
              <w:t>iming advance adjustment delay requirement</w:t>
            </w:r>
          </w:p>
        </w:tc>
        <w:tc>
          <w:tcPr>
            <w:tcW w:w="3118" w:type="dxa"/>
          </w:tcPr>
          <w:p>
            <w:pPr>
              <w:overflowPunct/>
              <w:autoSpaceDE/>
              <w:autoSpaceDN/>
              <w:adjustRightInd/>
              <w:spacing w:after="0"/>
              <w:textAlignment w:val="auto"/>
              <w:rPr>
                <w:rFonts w:hint="default" w:eastAsia="宋体" w:cs="Courier New"/>
                <w:szCs w:val="24"/>
                <w:lang w:val="en-US" w:eastAsia="zh-CN"/>
              </w:rPr>
            </w:pPr>
            <w:r>
              <w:rPr>
                <w:rFonts w:eastAsia="宋体" w:cs="Courier New"/>
                <w:szCs w:val="24"/>
                <w:lang w:val="en-US" w:eastAsia="zh-CN"/>
              </w:rPr>
              <w:t>Introduce the mechanism of K</w:t>
            </w:r>
            <w:r>
              <w:rPr>
                <w:rFonts w:eastAsia="宋体" w:cs="Courier New"/>
                <w:szCs w:val="24"/>
                <w:vertAlign w:val="subscript"/>
                <w:lang w:val="en-US" w:eastAsia="zh-CN"/>
              </w:rPr>
              <w:t>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t>Signalling characteristics</w:t>
            </w:r>
          </w:p>
        </w:tc>
        <w:tc>
          <w:tcPr>
            <w:tcW w:w="3119" w:type="dxa"/>
          </w:tcPr>
          <w:p>
            <w:pPr>
              <w:numPr>
                <w:ilvl w:val="255"/>
                <w:numId w:val="0"/>
              </w:numPr>
              <w:spacing w:after="180"/>
              <w:rPr>
                <w:rFonts w:eastAsia="宋体" w:cs="Courier New"/>
                <w:szCs w:val="24"/>
                <w:lang w:val="en-US" w:eastAsia="zh-CN"/>
              </w:rPr>
            </w:pPr>
            <w:r>
              <w:rPr>
                <w:rFonts w:hint="eastAsia" w:eastAsia="宋体" w:cs="Courier New"/>
                <w:szCs w:val="24"/>
                <w:lang w:val="en-US" w:eastAsia="zh-CN"/>
              </w:rPr>
              <w:t>Radio link monitoring</w:t>
            </w:r>
          </w:p>
          <w:p>
            <w:pPr>
              <w:overflowPunct/>
              <w:autoSpaceDE/>
              <w:autoSpaceDN/>
              <w:adjustRightInd/>
              <w:spacing w:after="0"/>
              <w:textAlignment w:val="auto"/>
              <w:rPr>
                <w:rFonts w:eastAsia="宋体" w:cs="Courier New"/>
                <w:szCs w:val="24"/>
                <w:lang w:val="en-US" w:eastAsia="zh-CN"/>
              </w:rPr>
            </w:pP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Link recovery procedures</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restart"/>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Measurement procedure and requirements</w:t>
            </w: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NR intra-frequency measurements</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For ATG TDD deployment, ‘deriveSSB-IndexFromCell’ is not always applicable for NR intra-frequency measurement.</w:t>
            </w:r>
          </w:p>
          <w:p>
            <w:pPr>
              <w:pStyle w:val="106"/>
              <w:numPr>
                <w:ilvl w:val="255"/>
                <w:numId w:val="0"/>
              </w:numPr>
              <w:spacing w:after="180"/>
              <w:rPr>
                <w:rFonts w:ascii="Times New Roman" w:hAnsi="Times New Roman" w:eastAsia="宋体"/>
                <w:szCs w:val="20"/>
                <w:lang w:eastAsia="ja-JP"/>
              </w:rPr>
            </w:pPr>
            <w:r>
              <w:rPr>
                <w:rFonts w:hint="eastAsia" w:ascii="Times New Roman" w:hAnsi="Times New Roman" w:eastAsia="宋体"/>
                <w:szCs w:val="20"/>
                <w:lang w:val="en-US"/>
              </w:rPr>
              <w:t xml:space="preserve">For intra-frequency measurements without gap, </w:t>
            </w:r>
            <w:r>
              <w:rPr>
                <w:rFonts w:hint="eastAsia" w:ascii="Times New Roman" w:hAnsi="Times New Roman" w:eastAsia="宋体"/>
                <w:szCs w:val="20"/>
                <w:lang w:eastAsia="ja-JP"/>
              </w:rPr>
              <w:t xml:space="preserve">Introduce </w:t>
            </w:r>
            <w:r>
              <w:rPr>
                <w:rFonts w:hint="eastAsia" w:ascii="Times New Roman" w:hAnsi="Times New Roman" w:eastAsia="宋体"/>
                <w:szCs w:val="20"/>
              </w:rPr>
              <w:t>scaling factor N for L3 measurements for ATG UEs with [antenna arrays]</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 xml:space="preserve">N = </w:t>
            </w:r>
            <w:r>
              <w:rPr>
                <w:rFonts w:hint="eastAsia" w:ascii="Times New Roman" w:hAnsi="Times New Roman" w:eastAsia="宋体"/>
                <w:szCs w:val="20"/>
                <w:lang w:val="en-US"/>
              </w:rPr>
              <w:t>3</w:t>
            </w:r>
            <w:r>
              <w:rPr>
                <w:rFonts w:hint="eastAsia" w:ascii="Times New Roman" w:hAnsi="Times New Roman" w:eastAsia="宋体"/>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Inter-frequency measurements without measurement gap</w:t>
            </w:r>
          </w:p>
        </w:tc>
        <w:tc>
          <w:tcPr>
            <w:tcW w:w="3118" w:type="dxa"/>
          </w:tcPr>
          <w:p>
            <w:pPr>
              <w:pStyle w:val="106"/>
              <w:numPr>
                <w:ilvl w:val="255"/>
                <w:numId w:val="0"/>
              </w:numPr>
              <w:spacing w:after="180"/>
              <w:rPr>
                <w:rFonts w:ascii="Times New Roman" w:hAnsi="Times New Roman" w:eastAsia="宋体"/>
                <w:szCs w:val="20"/>
                <w:lang w:eastAsia="ja-JP"/>
              </w:rPr>
            </w:pPr>
            <w:r>
              <w:rPr>
                <w:rFonts w:hint="eastAsia" w:ascii="Times New Roman" w:hAnsi="Times New Roman" w:eastAsia="宋体"/>
                <w:szCs w:val="20"/>
                <w:lang w:eastAsia="ja-JP"/>
              </w:rPr>
              <w:t xml:space="preserve">Introduce </w:t>
            </w:r>
            <w:r>
              <w:rPr>
                <w:rFonts w:hint="eastAsia" w:ascii="Times New Roman" w:hAnsi="Times New Roman" w:eastAsia="宋体"/>
                <w:szCs w:val="20"/>
              </w:rPr>
              <w:t>scaling factor N for L3 measurements for ATG UEs with [antenna arrays]</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 xml:space="preserve">N = </w:t>
            </w:r>
            <w:r>
              <w:rPr>
                <w:rFonts w:hint="eastAsia" w:ascii="Times New Roman" w:hAnsi="Times New Roman" w:eastAsia="宋体"/>
                <w:szCs w:val="20"/>
                <w:lang w:val="en-US"/>
              </w:rPr>
              <w:t>3</w:t>
            </w:r>
            <w:r>
              <w:rPr>
                <w:rFonts w:hint="eastAsia" w:ascii="Times New Roman" w:hAnsi="Times New Roman" w:eastAsia="宋体"/>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CSI-RS based intra-frequency measurements</w:t>
            </w:r>
          </w:p>
        </w:tc>
        <w:tc>
          <w:tcPr>
            <w:tcW w:w="3118"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 xml:space="preserve">For ATG TDD deployment, ‘deriveSSB-IndexFromCell’ is not always applicable for </w:t>
            </w:r>
            <w:r>
              <w:rPr>
                <w:rFonts w:hint="eastAsia" w:eastAsia="宋体" w:cs="Courier New"/>
                <w:szCs w:val="24"/>
                <w:lang w:val="en-US" w:eastAsia="zh-CN"/>
              </w:rPr>
              <w:t xml:space="preserve">CSI-RS based </w:t>
            </w:r>
            <w:r>
              <w:rPr>
                <w:rFonts w:eastAsia="宋体" w:cs="Courier New"/>
                <w:szCs w:val="24"/>
                <w:lang w:val="en-US" w:eastAsia="zh-CN"/>
              </w:rPr>
              <w:t>intra-frequency measurement.</w:t>
            </w:r>
          </w:p>
          <w:p>
            <w:pPr>
              <w:pStyle w:val="106"/>
              <w:numPr>
                <w:ilvl w:val="255"/>
                <w:numId w:val="0"/>
              </w:numPr>
              <w:spacing w:after="180"/>
              <w:rPr>
                <w:rFonts w:ascii="Times New Roman" w:hAnsi="Times New Roman" w:eastAsia="宋体"/>
                <w:szCs w:val="20"/>
                <w:lang w:eastAsia="ja-JP"/>
              </w:rPr>
            </w:pPr>
            <w:r>
              <w:rPr>
                <w:rFonts w:hint="eastAsia" w:ascii="Times New Roman" w:hAnsi="Times New Roman" w:eastAsia="宋体"/>
                <w:szCs w:val="20"/>
                <w:lang w:val="en-US"/>
              </w:rPr>
              <w:t xml:space="preserve">For intra-frequency measurements without gap, </w:t>
            </w:r>
            <w:r>
              <w:rPr>
                <w:rFonts w:hint="eastAsia" w:ascii="Times New Roman" w:hAnsi="Times New Roman" w:eastAsia="宋体"/>
                <w:szCs w:val="20"/>
                <w:lang w:eastAsia="ja-JP"/>
              </w:rPr>
              <w:t xml:space="preserve">Introduce </w:t>
            </w:r>
            <w:r>
              <w:rPr>
                <w:rFonts w:hint="eastAsia" w:ascii="Times New Roman" w:hAnsi="Times New Roman" w:eastAsia="宋体"/>
                <w:szCs w:val="20"/>
              </w:rPr>
              <w:t>scaling factor N for L3 measurements for ATG UEs with [antenna arrays]</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 xml:space="preserve">N = </w:t>
            </w:r>
            <w:r>
              <w:rPr>
                <w:rFonts w:hint="eastAsia" w:ascii="Times New Roman" w:hAnsi="Times New Roman" w:eastAsia="宋体"/>
                <w:szCs w:val="20"/>
                <w:lang w:val="en-US"/>
              </w:rPr>
              <w:t>3</w:t>
            </w:r>
            <w:r>
              <w:rPr>
                <w:rFonts w:hint="eastAsia" w:ascii="Times New Roman" w:hAnsi="Times New Roman" w:eastAsia="宋体"/>
                <w:szCs w:val="20"/>
              </w:rPr>
              <w:t xml:space="preserve"> for the case when network assistance on ATG cells reference locations is provided</w:t>
            </w:r>
          </w:p>
          <w:p>
            <w:pPr>
              <w:pStyle w:val="106"/>
              <w:numPr>
                <w:ilvl w:val="0"/>
                <w:numId w:val="9"/>
              </w:numPr>
              <w:spacing w:after="180"/>
              <w:ind w:left="-24" w:leftChars="0"/>
              <w:rPr>
                <w:rFonts w:ascii="Times New Roman" w:hAnsi="Times New Roman" w:eastAsia="宋体"/>
                <w:szCs w:val="20"/>
                <w:lang w:eastAsia="ja-JP"/>
              </w:rPr>
            </w:pPr>
            <w:r>
              <w:rPr>
                <w:rFonts w:hint="eastAsia" w:ascii="Times New Roman" w:hAnsi="Times New Roman" w:eastAsia="宋体"/>
                <w:szCs w:val="20"/>
              </w:rPr>
              <w:t>N = 4 otherwise</w:t>
            </w:r>
          </w:p>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before="60" w:after="180"/>
              <w:jc w:val="both"/>
              <w:textAlignment w:val="auto"/>
              <w:rPr>
                <w:rFonts w:eastAsia="宋体" w:cs="Courier New"/>
                <w:szCs w:val="24"/>
                <w:lang w:val="en-US" w:eastAsia="zh-CN"/>
              </w:rPr>
            </w:pPr>
            <w:r>
              <w:rPr>
                <w:rFonts w:hint="eastAsia"/>
                <w:bCs/>
                <w:lang w:val="en-US" w:eastAsia="zh-CN"/>
              </w:rPr>
              <w:t>L1-RSRP/SINR measurements for Reporting</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the sharing factor for </w:t>
            </w:r>
            <w:r>
              <w:rPr>
                <w:rFonts w:hint="eastAsia" w:eastAsia="宋体"/>
              </w:rPr>
              <w:t>ATG UEs with [antenna arrays]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vMerge w:val="continue"/>
          </w:tcPr>
          <w:p>
            <w:pPr>
              <w:overflowPunct/>
              <w:autoSpaceDE/>
              <w:autoSpaceDN/>
              <w:adjustRightInd/>
              <w:spacing w:after="0"/>
              <w:textAlignment w:val="auto"/>
              <w:rPr>
                <w:rFonts w:eastAsia="宋体" w:cs="Courier New"/>
                <w:szCs w:val="24"/>
                <w:lang w:val="en-US" w:eastAsia="zh-CN"/>
              </w:rPr>
            </w:pPr>
          </w:p>
        </w:tc>
        <w:tc>
          <w:tcPr>
            <w:tcW w:w="3119" w:type="dxa"/>
          </w:tcPr>
          <w:p>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Scheduling restrictions of UE performing measurements</w:t>
            </w:r>
          </w:p>
        </w:tc>
        <w:tc>
          <w:tcPr>
            <w:tcW w:w="3118" w:type="dxa"/>
          </w:tcPr>
          <w:p>
            <w:pPr>
              <w:overflowPunct/>
              <w:autoSpaceDE/>
              <w:autoSpaceDN/>
              <w:adjustRightInd/>
              <w:spacing w:after="0"/>
              <w:textAlignment w:val="auto"/>
              <w:rPr>
                <w:rFonts w:eastAsia="宋体" w:cs="Courier New"/>
                <w:szCs w:val="24"/>
                <w:lang w:val="en-US" w:eastAsia="zh-CN"/>
              </w:rPr>
            </w:pPr>
            <w:r>
              <w:rPr>
                <w:rFonts w:hint="eastAsia" w:eastAsia="宋体" w:cs="Courier New"/>
                <w:szCs w:val="24"/>
                <w:lang w:val="en-US" w:eastAsia="zh-CN"/>
              </w:rPr>
              <w:t xml:space="preserve">Introduce additional scheduling restriction for </w:t>
            </w:r>
            <w:r>
              <w:rPr>
                <w:rFonts w:hint="eastAsia" w:eastAsia="宋体"/>
              </w:rPr>
              <w:t>ATG UEs with [antenna arrays]</w:t>
            </w:r>
          </w:p>
        </w:tc>
      </w:tr>
    </w:tbl>
    <w:p>
      <w:pPr>
        <w:overflowPunct/>
        <w:autoSpaceDE/>
        <w:autoSpaceDN/>
        <w:adjustRightInd/>
        <w:spacing w:after="0"/>
        <w:jc w:val="center"/>
        <w:textAlignment w:val="auto"/>
        <w:rPr>
          <w:rFonts w:eastAsia="宋体" w:cs="Courier New"/>
          <w:b/>
          <w:bCs/>
          <w:szCs w:val="24"/>
          <w:lang w:val="en-US" w:eastAsia="zh-CN"/>
        </w:rPr>
      </w:pPr>
    </w:p>
    <w:p>
      <w:pPr>
        <w:overflowPunct/>
        <w:autoSpaceDE/>
        <w:autoSpaceDN/>
        <w:adjustRightInd/>
        <w:spacing w:before="120" w:after="0"/>
        <w:jc w:val="both"/>
        <w:textAlignment w:val="auto"/>
        <w:rPr>
          <w:rFonts w:eastAsia="宋体" w:cs="Courier New"/>
          <w:szCs w:val="24"/>
          <w:lang w:val="en-US" w:eastAsia="zh-CN"/>
        </w:rPr>
      </w:pPr>
      <w:r>
        <w:rPr>
          <w:rFonts w:hint="eastAsia" w:eastAsia="宋体" w:cs="Courier New"/>
          <w:szCs w:val="24"/>
          <w:lang w:val="en-US" w:eastAsia="zh-CN"/>
        </w:rPr>
        <w:t>F</w:t>
      </w:r>
      <w:r>
        <w:rPr>
          <w:rFonts w:eastAsia="宋体" w:cs="Courier New"/>
          <w:szCs w:val="24"/>
          <w:lang w:val="en-US" w:eastAsia="zh-CN"/>
        </w:rPr>
        <w:t>or other RRM requirements, no new ATG specific requirements will be defined in R18.</w:t>
      </w:r>
      <w:r>
        <w:rPr>
          <w:rFonts w:hint="eastAsia" w:eastAsia="宋体" w:cs="Courier New"/>
          <w:szCs w:val="24"/>
          <w:lang w:val="en-US" w:eastAsia="zh-CN"/>
        </w:rPr>
        <w:t xml:space="preserve"> </w:t>
      </w:r>
    </w:p>
    <w:p>
      <w:pPr>
        <w:pStyle w:val="2"/>
        <w:rPr>
          <w:lang w:eastAsia="zh-CN"/>
        </w:rPr>
      </w:pPr>
      <w:bookmarkStart w:id="1341" w:name="_Toc473554002"/>
      <w:bookmarkStart w:id="1342" w:name="_Toc7911"/>
      <w:bookmarkStart w:id="1343" w:name="_Toc19867"/>
      <w:bookmarkStart w:id="1344" w:name="_Toc21984"/>
      <w:bookmarkStart w:id="1345" w:name="_Toc133498178"/>
      <w:bookmarkStart w:id="1346" w:name="_Toc22393"/>
      <w:bookmarkStart w:id="1347" w:name="_Toc22450"/>
      <w:bookmarkStart w:id="1348" w:name="_Toc16337"/>
      <w:bookmarkStart w:id="1349" w:name="_Toc10519"/>
      <w:bookmarkStart w:id="1350" w:name="_Toc22605"/>
      <w:bookmarkStart w:id="1351" w:name="_Toc21210"/>
      <w:r>
        <w:rPr>
          <w:rFonts w:hint="eastAsia"/>
          <w:lang w:eastAsia="zh-CN"/>
        </w:rPr>
        <w:t>9</w:t>
      </w:r>
      <w:bookmarkEnd w:id="1341"/>
      <w:bookmarkStart w:id="1352" w:name="_Toc473554023"/>
      <w:r>
        <w:rPr>
          <w:rFonts w:hint="eastAsia" w:eastAsia="宋体"/>
          <w:lang w:val="en-US" w:eastAsia="zh-CN"/>
        </w:rPr>
        <w:tab/>
      </w:r>
      <w:bookmarkStart w:id="1513" w:name="_GoBack"/>
      <w:bookmarkEnd w:id="1513"/>
      <w:r>
        <w:rPr>
          <w:rFonts w:hint="eastAsia"/>
          <w:lang w:eastAsia="zh-CN"/>
        </w:rPr>
        <w:t>Conclusion</w:t>
      </w:r>
      <w:bookmarkEnd w:id="1342"/>
      <w:bookmarkEnd w:id="1343"/>
      <w:bookmarkEnd w:id="1344"/>
      <w:bookmarkEnd w:id="1345"/>
      <w:bookmarkEnd w:id="1346"/>
      <w:bookmarkEnd w:id="1347"/>
      <w:bookmarkEnd w:id="1348"/>
      <w:bookmarkEnd w:id="1349"/>
      <w:bookmarkEnd w:id="1350"/>
      <w:bookmarkEnd w:id="1351"/>
    </w:p>
    <w:p>
      <w:pPr>
        <w:rPr>
          <w:lang w:val="en-US" w:eastAsia="zh-CN"/>
        </w:rPr>
      </w:pPr>
      <w:r>
        <w:rPr>
          <w:rFonts w:hint="eastAsia" w:ascii="Times New Roman" w:eastAsia="宋体"/>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hint="eastAsia" w:ascii="Times New Roman" w:eastAsia="宋体"/>
          <w:lang w:val="en-US" w:eastAsia="zh-CN"/>
        </w:rPr>
        <w:t xml:space="preserve"> using antenna array and omni-directional antenna at ATG UE side respectively. </w:t>
      </w:r>
    </w:p>
    <w:p>
      <w:pPr>
        <w:numPr>
          <w:ilvl w:val="0"/>
          <w:numId w:val="12"/>
        </w:numPr>
        <w:ind w:left="420" w:hanging="420"/>
        <w:rPr>
          <w:lang w:val="en-US" w:eastAsia="zh-CN"/>
        </w:rPr>
      </w:pPr>
      <w:r>
        <w:rPr>
          <w:rFonts w:hint="eastAsia" w:ascii="Times New Roman" w:eastAsia="宋体"/>
          <w:lang w:val="en-US" w:eastAsia="zh-CN"/>
        </w:rPr>
        <w:t>The synchronized operation assumption is used to derive adjacent channel co-existence RF requirements, i.e.</w:t>
      </w:r>
      <w:r>
        <w:rPr>
          <w:lang w:val="en-US" w:eastAsia="zh-CN"/>
        </w:rPr>
        <w:t>,</w:t>
      </w:r>
      <w:r>
        <w:rPr>
          <w:rFonts w:hint="eastAsia" w:ascii="Times New Roman" w:eastAsia="宋体"/>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pPr>
        <w:numPr>
          <w:ilvl w:val="0"/>
          <w:numId w:val="12"/>
        </w:numPr>
        <w:ind w:left="420" w:hanging="420"/>
        <w:rPr>
          <w:lang w:val="en-US" w:eastAsia="zh-CN"/>
        </w:rPr>
      </w:pPr>
      <w:r>
        <w:rPr>
          <w:rFonts w:hint="eastAsia" w:ascii="Times New Roman" w:eastAsia="宋体"/>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pPr>
        <w:rPr>
          <w:lang w:val="en-US" w:eastAsia="zh-CN"/>
        </w:rPr>
      </w:pPr>
      <w:r>
        <w:rPr>
          <w:rFonts w:hint="eastAsia" w:ascii="Times New Roman" w:eastAsia="宋体"/>
          <w:lang w:val="en-US" w:eastAsia="zh-CN"/>
        </w:rPr>
        <w:t>Besides, ATG specific operation bands are listed in clause 5 based on request from operators. It</w:t>
      </w:r>
      <w:r>
        <w:rPr>
          <w:lang w:val="en-US" w:eastAsia="zh-CN"/>
        </w:rPr>
        <w:t>’</w:t>
      </w:r>
      <w:r>
        <w:rPr>
          <w:rFonts w:hint="eastAsia" w:ascii="Times New Roman" w:eastAsia="宋体"/>
          <w:lang w:val="en-US" w:eastAsia="zh-CN"/>
        </w:rPr>
        <w:t xml:space="preserve">s noted this TR only encompass FR1 operation bands with larger than 1GHz frequency. </w:t>
      </w:r>
    </w:p>
    <w:p>
      <w:pPr>
        <w:rPr>
          <w:lang w:eastAsia="en-US"/>
        </w:rPr>
      </w:pPr>
      <w:r>
        <w:rPr>
          <w:rFonts w:hint="eastAsia" w:ascii="Times New Roman" w:eastAsia="宋体"/>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pPr>
        <w:pStyle w:val="100"/>
        <w:rPr>
          <w:color w:val="auto"/>
          <w:lang w:eastAsia="zh-CN"/>
        </w:rPr>
      </w:pPr>
    </w:p>
    <w:bookmarkEnd w:id="1352"/>
    <w:p>
      <w:pPr>
        <w:pStyle w:val="2"/>
        <w:ind w:left="0" w:firstLine="0"/>
        <w:rPr>
          <w:lang w:eastAsia="zh-CN"/>
        </w:rPr>
      </w:pPr>
      <w:bookmarkStart w:id="1353" w:name="_Toc473554024"/>
      <w:bookmarkStart w:id="1354" w:name="_Toc30132"/>
      <w:bookmarkStart w:id="1355" w:name="_Toc17443"/>
      <w:bookmarkStart w:id="1356" w:name="_Toc15120"/>
      <w:bookmarkStart w:id="1357" w:name="_Toc17148"/>
      <w:bookmarkStart w:id="1358" w:name="_Toc133498179"/>
      <w:bookmarkStart w:id="1359" w:name="_Toc2457"/>
      <w:bookmarkStart w:id="1360" w:name="_Toc9563"/>
      <w:bookmarkStart w:id="1361" w:name="_Toc28957"/>
      <w:bookmarkStart w:id="1362" w:name="_Toc17978"/>
      <w:bookmarkStart w:id="1363" w:name="_Toc32449"/>
      <w:r>
        <w:rPr>
          <w:rFonts w:hint="eastAsia"/>
          <w:lang w:eastAsia="zh-CN"/>
        </w:rPr>
        <w:t>1</w:t>
      </w:r>
      <w:r>
        <w:rPr>
          <w:rFonts w:hint="eastAsia"/>
        </w:rPr>
        <w:t>0</w:t>
      </w:r>
      <w:r>
        <w:tab/>
      </w:r>
      <w:r>
        <w:t>Required changes to NR</w:t>
      </w:r>
      <w:bookmarkEnd w:id="1353"/>
      <w:r>
        <w:rPr>
          <w:rFonts w:hint="eastAsia"/>
        </w:rPr>
        <w:t xml:space="preserve">, </w:t>
      </w:r>
      <w:r>
        <w:t>E-UTRA, UTRA and MSR specifications</w:t>
      </w:r>
      <w:bookmarkEnd w:id="1354"/>
      <w:bookmarkEnd w:id="1355"/>
      <w:bookmarkEnd w:id="1356"/>
      <w:bookmarkEnd w:id="1357"/>
      <w:bookmarkEnd w:id="1358"/>
      <w:bookmarkEnd w:id="1359"/>
      <w:bookmarkEnd w:id="1360"/>
      <w:bookmarkEnd w:id="1361"/>
      <w:bookmarkEnd w:id="1362"/>
      <w:bookmarkEnd w:id="1363"/>
    </w:p>
    <w:p>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pPr>
        <w:pStyle w:val="76"/>
      </w:pPr>
      <w:r>
        <w:t xml:space="preserve">Table </w:t>
      </w:r>
      <w:r>
        <w:rPr>
          <w:rFonts w:hint="eastAsia"/>
          <w:lang w:eastAsia="zh-CN"/>
        </w:rPr>
        <w:t>10</w:t>
      </w:r>
      <w:r>
        <w:t>-1: Overview of 3GPP specifications with required changes</w:t>
      </w:r>
    </w:p>
    <w:tbl>
      <w:tblPr>
        <w:tblStyle w:val="49"/>
        <w:tblW w:w="0" w:type="auto"/>
        <w:tblInd w:w="80" w:type="dxa"/>
        <w:tblLayout w:type="autofit"/>
        <w:tblCellMar>
          <w:top w:w="0" w:type="dxa"/>
          <w:left w:w="0" w:type="dxa"/>
          <w:bottom w:w="0" w:type="dxa"/>
          <w:right w:w="0" w:type="dxa"/>
        </w:tblCellMar>
      </w:tblPr>
      <w:tblGrid>
        <w:gridCol w:w="1021"/>
        <w:gridCol w:w="5448"/>
        <w:gridCol w:w="1134"/>
        <w:gridCol w:w="1639"/>
      </w:tblGrid>
      <w:tr>
        <w:trPr>
          <w:cantSplit/>
        </w:trPr>
        <w:tc>
          <w:tcPr>
            <w:tcW w:w="9242" w:type="dxa"/>
            <w:gridSpan w:val="4"/>
            <w:tcBorders>
              <w:top w:val="single" w:color="auto" w:sz="8" w:space="0"/>
              <w:left w:val="single" w:color="auto" w:sz="8" w:space="0"/>
              <w:bottom w:val="single" w:color="auto" w:sz="8" w:space="0"/>
              <w:right w:val="single" w:color="auto" w:sz="8" w:space="0"/>
            </w:tcBorders>
            <w:tcMar>
              <w:top w:w="0" w:type="dxa"/>
              <w:left w:w="28" w:type="dxa"/>
              <w:bottom w:w="0" w:type="dxa"/>
              <w:right w:w="28" w:type="dxa"/>
            </w:tcMar>
          </w:tcPr>
          <w:p>
            <w:pPr>
              <w:pStyle w:val="67"/>
            </w:pPr>
            <w:r>
              <w:t>Affected existing specifications</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shd w:val="clear" w:color="auto" w:fill="E0E0E0"/>
            <w:tcMar>
              <w:top w:w="0" w:type="dxa"/>
              <w:left w:w="28" w:type="dxa"/>
              <w:bottom w:w="0" w:type="dxa"/>
              <w:right w:w="28" w:type="dxa"/>
            </w:tcMar>
            <w:vAlign w:val="center"/>
          </w:tcPr>
          <w:p>
            <w:pPr>
              <w:pStyle w:val="67"/>
            </w:pPr>
            <w:r>
              <w:t>Spec No.</w:t>
            </w:r>
          </w:p>
        </w:tc>
        <w:tc>
          <w:tcPr>
            <w:tcW w:w="5448" w:type="dxa"/>
            <w:tcBorders>
              <w:top w:val="nil"/>
              <w:left w:val="nil"/>
              <w:bottom w:val="single" w:color="auto" w:sz="8" w:space="0"/>
              <w:right w:val="single" w:color="auto" w:sz="8" w:space="0"/>
            </w:tcBorders>
            <w:shd w:val="clear" w:color="auto" w:fill="E0E0E0"/>
            <w:tcMar>
              <w:top w:w="0" w:type="dxa"/>
              <w:left w:w="28" w:type="dxa"/>
              <w:bottom w:w="0" w:type="dxa"/>
              <w:right w:w="28" w:type="dxa"/>
            </w:tcMar>
            <w:vAlign w:val="center"/>
          </w:tcPr>
          <w:p>
            <w:pPr>
              <w:pStyle w:val="67"/>
            </w:pPr>
            <w:r>
              <w:t>Subject of the CR</w:t>
            </w:r>
          </w:p>
        </w:tc>
        <w:tc>
          <w:tcPr>
            <w:tcW w:w="1134" w:type="dxa"/>
            <w:tcBorders>
              <w:top w:val="nil"/>
              <w:left w:val="nil"/>
              <w:bottom w:val="single" w:color="auto" w:sz="8" w:space="0"/>
              <w:right w:val="single" w:color="auto" w:sz="8" w:space="0"/>
            </w:tcBorders>
            <w:shd w:val="clear" w:color="auto" w:fill="D9D9D9"/>
            <w:tcMar>
              <w:top w:w="0" w:type="dxa"/>
              <w:left w:w="28" w:type="dxa"/>
              <w:bottom w:w="0" w:type="dxa"/>
              <w:right w:w="28" w:type="dxa"/>
            </w:tcMar>
            <w:vAlign w:val="center"/>
          </w:tcPr>
          <w:p>
            <w:pPr>
              <w:pStyle w:val="67"/>
            </w:pPr>
            <w:r>
              <w:t>Comments</w:t>
            </w:r>
          </w:p>
        </w:tc>
        <w:tc>
          <w:tcPr>
            <w:tcW w:w="1639" w:type="dxa"/>
            <w:tcBorders>
              <w:top w:val="nil"/>
              <w:left w:val="nil"/>
              <w:bottom w:val="single" w:color="auto" w:sz="8" w:space="0"/>
              <w:right w:val="single" w:color="auto" w:sz="8" w:space="0"/>
            </w:tcBorders>
            <w:shd w:val="clear" w:color="auto" w:fill="D9D9D9"/>
            <w:tcMar>
              <w:top w:w="0" w:type="dxa"/>
              <w:left w:w="28" w:type="dxa"/>
              <w:bottom w:w="0" w:type="dxa"/>
              <w:right w:w="28" w:type="dxa"/>
            </w:tcMar>
          </w:tcPr>
          <w:p>
            <w:pPr>
              <w:pStyle w:val="67"/>
            </w:pPr>
            <w:r>
              <w:t>CR/TP (Tdoc)</w:t>
            </w: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Height w:val="100" w:hRule="atLeas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rPr>
                <w:rFonts w:cs="Arial"/>
                <w:snapToGrid w:val="0"/>
                <w:sz w:val="16"/>
                <w:szCs w:val="16"/>
              </w:rPr>
            </w:pPr>
          </w:p>
        </w:tc>
        <w:tc>
          <w:tcPr>
            <w:tcW w:w="1134"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single" w:color="auto" w:sz="8" w:space="0"/>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r>
        <w:tblPrEx>
          <w:tblCellMar>
            <w:top w:w="0" w:type="dxa"/>
            <w:left w:w="0" w:type="dxa"/>
            <w:bottom w:w="0" w:type="dxa"/>
            <w:right w:w="0" w:type="dxa"/>
          </w:tblCellMar>
        </w:tblPrEx>
        <w:trPr>
          <w:cantSplit/>
        </w:trPr>
        <w:tc>
          <w:tcPr>
            <w:tcW w:w="1021" w:type="dxa"/>
            <w:tcBorders>
              <w:top w:val="nil"/>
              <w:left w:val="single" w:color="auto" w:sz="8" w:space="0"/>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5448"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134"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rPr>
                <w:rFonts w:cs="Arial"/>
                <w:sz w:val="16"/>
                <w:szCs w:val="16"/>
              </w:rPr>
            </w:pPr>
          </w:p>
        </w:tc>
        <w:tc>
          <w:tcPr>
            <w:tcW w:w="1639" w:type="dxa"/>
            <w:tcBorders>
              <w:top w:val="nil"/>
              <w:left w:val="nil"/>
              <w:bottom w:val="single" w:color="auto" w:sz="8" w:space="0"/>
              <w:right w:val="single" w:color="auto" w:sz="8" w:space="0"/>
            </w:tcBorders>
            <w:tcMar>
              <w:top w:w="0" w:type="dxa"/>
              <w:left w:w="28" w:type="dxa"/>
              <w:bottom w:w="0" w:type="dxa"/>
              <w:right w:w="28" w:type="dxa"/>
            </w:tcMar>
            <w:vAlign w:val="center"/>
          </w:tcPr>
          <w:p>
            <w:pPr>
              <w:pStyle w:val="66"/>
              <w:jc w:val="center"/>
              <w:rPr>
                <w:rFonts w:cs="Arial"/>
                <w:sz w:val="16"/>
                <w:szCs w:val="16"/>
              </w:rPr>
            </w:pPr>
          </w:p>
        </w:tc>
      </w:tr>
    </w:tbl>
    <w:p/>
    <w:p>
      <w:pPr>
        <w:pStyle w:val="2"/>
        <w:rPr>
          <w:rFonts w:hint="default"/>
          <w:lang w:val="en-US" w:eastAsia="zh-CN"/>
        </w:rPr>
      </w:pPr>
      <w:bookmarkStart w:id="1364" w:name="_Toc12538"/>
      <w:bookmarkStart w:id="1365" w:name="_Toc20550"/>
      <w:bookmarkStart w:id="1366" w:name="_Toc13046"/>
      <w:bookmarkStart w:id="1367" w:name="_Toc5453"/>
      <w:bookmarkStart w:id="1368" w:name="_Toc2016"/>
      <w:bookmarkStart w:id="1369" w:name="_Toc27755"/>
      <w:bookmarkStart w:id="1370" w:name="_Toc8984"/>
      <w:bookmarkStart w:id="1371" w:name="_Toc19572"/>
      <w:bookmarkStart w:id="1372" w:name="_Toc26476"/>
      <w:bookmarkStart w:id="1373" w:name="_Toc482961395"/>
      <w:bookmarkStart w:id="1374" w:name="_Toc117668904"/>
      <w:r>
        <w:rPr>
          <w:rFonts w:hint="eastAsia"/>
          <w:lang w:eastAsia="zh-CN"/>
        </w:rPr>
        <w:t>Annex</w:t>
      </w:r>
      <w:r>
        <w:rPr>
          <w:rFonts w:hint="eastAsia"/>
          <w:lang w:eastAsia="zh-CN"/>
        </w:rPr>
        <w:tab/>
      </w:r>
      <w:r>
        <w:rPr>
          <w:rFonts w:hint="eastAsia"/>
          <w:lang w:eastAsia="zh-CN"/>
        </w:rPr>
        <w:t>A:</w:t>
      </w:r>
      <w:r>
        <w:rPr>
          <w:rFonts w:hint="eastAsia"/>
          <w:lang w:eastAsia="zh-CN"/>
        </w:rPr>
        <w:tab/>
      </w:r>
      <w:r>
        <w:rPr>
          <w:rFonts w:hint="eastAsia"/>
          <w:lang w:eastAsia="zh-CN"/>
        </w:rPr>
        <w:t xml:space="preserve">Calibration results of </w:t>
      </w:r>
      <w:r>
        <w:rPr>
          <w:rFonts w:hint="eastAsia"/>
          <w:lang w:val="en-US" w:eastAsia="zh-CN"/>
        </w:rPr>
        <w:t>synchronized operation</w:t>
      </w:r>
      <w:bookmarkEnd w:id="1364"/>
      <w:bookmarkEnd w:id="1365"/>
      <w:bookmarkEnd w:id="1366"/>
      <w:bookmarkEnd w:id="1367"/>
      <w:bookmarkEnd w:id="1368"/>
      <w:bookmarkEnd w:id="1369"/>
      <w:bookmarkEnd w:id="1370"/>
      <w:bookmarkEnd w:id="1371"/>
      <w:bookmarkEnd w:id="1372"/>
    </w:p>
    <w:p>
      <w:pPr>
        <w:pStyle w:val="3"/>
      </w:pPr>
      <w:bookmarkStart w:id="1375" w:name="_Toc27096"/>
      <w:bookmarkStart w:id="1376" w:name="_Toc25370"/>
      <w:bookmarkStart w:id="1377" w:name="_Toc10645"/>
      <w:bookmarkStart w:id="1378" w:name="_Toc11761"/>
      <w:bookmarkStart w:id="1379" w:name="_Toc7304"/>
      <w:bookmarkStart w:id="1380" w:name="_Toc27359"/>
      <w:bookmarkStart w:id="1381" w:name="_Toc9969"/>
      <w:bookmarkStart w:id="1382" w:name="_Toc32248"/>
      <w:bookmarkStart w:id="1383" w:name="_Toc26685"/>
      <w:r>
        <w:t>A.1</w:t>
      </w:r>
      <w:r>
        <w:tab/>
      </w:r>
      <w:r>
        <w:t>Calibration assumptions</w:t>
      </w:r>
      <w:bookmarkEnd w:id="1375"/>
      <w:bookmarkEnd w:id="1376"/>
      <w:bookmarkEnd w:id="1377"/>
      <w:bookmarkEnd w:id="1378"/>
      <w:bookmarkEnd w:id="1379"/>
      <w:bookmarkEnd w:id="1380"/>
      <w:bookmarkEnd w:id="1381"/>
      <w:bookmarkEnd w:id="1382"/>
      <w:bookmarkEnd w:id="1383"/>
    </w:p>
    <w:p>
      <w:pPr>
        <w:rPr>
          <w:rFonts w:hint="default" w:eastAsia="宋体"/>
          <w:lang w:val="en-US" w:eastAsia="zh-CN"/>
        </w:rPr>
      </w:pPr>
      <w:r>
        <w:rPr>
          <w:rFonts w:hint="eastAsia" w:eastAsia="宋体"/>
          <w:lang w:val="en-US" w:eastAsia="zh-CN"/>
        </w:rPr>
        <w:t xml:space="preserve">The calibration assumptions is the same as listed in clause 6.2 and 6.3. </w:t>
      </w:r>
    </w:p>
    <w:p>
      <w:pPr>
        <w:pStyle w:val="3"/>
        <w:rPr>
          <w:rFonts w:hint="default"/>
          <w:lang w:val="en-US" w:eastAsia="zh-CN"/>
        </w:rPr>
      </w:pPr>
      <w:bookmarkStart w:id="1384" w:name="_Toc8287"/>
      <w:bookmarkStart w:id="1385" w:name="_Toc24486"/>
      <w:bookmarkStart w:id="1386" w:name="_Toc28512"/>
      <w:bookmarkStart w:id="1387" w:name="_Toc31668"/>
      <w:bookmarkStart w:id="1388" w:name="_Toc3532"/>
      <w:bookmarkStart w:id="1389" w:name="_Toc1161"/>
      <w:bookmarkStart w:id="1390" w:name="_Toc26172"/>
      <w:bookmarkStart w:id="1391" w:name="_Toc16452"/>
      <w:bookmarkStart w:id="1392" w:name="_Toc30083"/>
      <w:r>
        <w:t>A.2</w:t>
      </w:r>
      <w:r>
        <w:tab/>
      </w:r>
      <w:r>
        <w:t>Calibration results at 2GHz</w:t>
      </w:r>
      <w:r>
        <w:rPr>
          <w:rFonts w:hint="eastAsia"/>
          <w:lang w:val="en-US" w:eastAsia="zh-CN"/>
        </w:rPr>
        <w:t xml:space="preserve"> and 4GHz</w:t>
      </w:r>
      <w:bookmarkEnd w:id="1384"/>
      <w:bookmarkEnd w:id="1385"/>
      <w:bookmarkEnd w:id="1386"/>
      <w:bookmarkEnd w:id="1387"/>
      <w:bookmarkEnd w:id="1388"/>
      <w:bookmarkEnd w:id="1389"/>
      <w:bookmarkEnd w:id="1390"/>
      <w:bookmarkEnd w:id="1391"/>
      <w:bookmarkEnd w:id="1392"/>
    </w:p>
    <w:p>
      <w:pPr>
        <w:rPr>
          <w:b w:val="0"/>
          <w:bCs/>
          <w:color w:val="auto"/>
          <w:lang w:val="en-US" w:eastAsia="zh-CN"/>
        </w:rPr>
      </w:pPr>
      <w:r>
        <w:rPr>
          <w:rFonts w:hint="eastAsia"/>
          <w:b w:val="0"/>
          <w:bCs/>
          <w:color w:val="auto"/>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b w:val="0"/>
          <w:bCs/>
          <w:color w:val="auto"/>
          <w:lang w:val="en-US" w:eastAsia="zh-CN" w:bidi="ar"/>
        </w:rPr>
        <w:t xml:space="preserve">xplanation for </w:t>
      </w:r>
      <w:r>
        <w:rPr>
          <w:rFonts w:hint="eastAsia"/>
          <w:b w:val="0"/>
          <w:bCs/>
          <w:color w:val="auto"/>
          <w:lang w:val="en-US" w:eastAsia="zh-CN" w:bidi="ar"/>
        </w:rPr>
        <w:t>each performance metric</w:t>
      </w:r>
      <w:r>
        <w:rPr>
          <w:b w:val="0"/>
          <w:bCs/>
          <w:color w:val="auto"/>
          <w:lang w:val="en-US" w:eastAsia="zh-CN" w:bidi="ar"/>
        </w:rPr>
        <w:t xml:space="preserve"> </w:t>
      </w:r>
      <w:r>
        <w:rPr>
          <w:rFonts w:hint="eastAsia"/>
          <w:b w:val="0"/>
          <w:bCs/>
          <w:color w:val="auto"/>
          <w:lang w:val="en-US" w:eastAsia="zh-CN" w:bidi="ar"/>
        </w:rPr>
        <w:t xml:space="preserve">in calibration excel file. </w:t>
      </w:r>
    </w:p>
    <w:p>
      <w:pPr>
        <w:widowControl w:val="0"/>
        <w:numPr>
          <w:ilvl w:val="0"/>
          <w:numId w:val="13"/>
        </w:numPr>
        <w:spacing w:after="120"/>
        <w:ind w:left="420" w:hanging="420"/>
        <w:jc w:val="both"/>
        <w:rPr>
          <w:bCs/>
          <w:color w:val="auto"/>
          <w:szCs w:val="21"/>
          <w:lang w:val="en-US"/>
        </w:rPr>
      </w:pPr>
      <w:r>
        <w:rPr>
          <w:rFonts w:hint="eastAsia"/>
          <w:bCs/>
          <w:color w:val="auto"/>
          <w:szCs w:val="21"/>
          <w:lang w:val="en-US" w:eastAsia="zh-CN"/>
        </w:rPr>
        <w:t>CL: coupling loss between transmitter and receiver</w:t>
      </w:r>
    </w:p>
    <w:p>
      <w:pPr>
        <w:widowControl w:val="0"/>
        <w:numPr>
          <w:ilvl w:val="0"/>
          <w:numId w:val="13"/>
        </w:numPr>
        <w:spacing w:after="120"/>
        <w:ind w:left="420" w:hanging="420"/>
        <w:jc w:val="both"/>
        <w:rPr>
          <w:bCs/>
          <w:color w:val="auto"/>
          <w:szCs w:val="21"/>
          <w:lang w:val="en-US"/>
        </w:rPr>
      </w:pPr>
      <w:r>
        <w:rPr>
          <w:rFonts w:hint="eastAsia"/>
          <w:bCs/>
          <w:color w:val="auto"/>
          <w:szCs w:val="21"/>
          <w:lang w:val="en-US" w:eastAsia="zh-CN"/>
        </w:rPr>
        <w:t xml:space="preserve">SINR CDF without adjacent channel interference: </w:t>
      </w:r>
      <w:r>
        <w:rPr>
          <w:bCs/>
          <w:color w:val="auto"/>
          <w:szCs w:val="21"/>
          <w:lang w:val="en-US" w:eastAsia="zh-CN" w:bidi="ar"/>
        </w:rPr>
        <w:t>Here the SINR=S/(N+I</w:t>
      </w:r>
      <w:r>
        <w:rPr>
          <w:bCs/>
          <w:color w:val="auto"/>
          <w:szCs w:val="21"/>
          <w:vertAlign w:val="subscript"/>
          <w:lang w:val="en-US" w:eastAsia="zh-CN" w:bidi="ar"/>
        </w:rPr>
        <w:t>ICI</w:t>
      </w:r>
      <w:r>
        <w:rPr>
          <w:bCs/>
          <w:color w:val="auto"/>
          <w:szCs w:val="21"/>
          <w:lang w:val="en-US" w:eastAsia="zh-CN" w:bidi="ar"/>
        </w:rPr>
        <w:t>)</w:t>
      </w:r>
      <w:r>
        <w:rPr>
          <w:rFonts w:hint="eastAsia"/>
          <w:bCs/>
          <w:color w:val="auto"/>
          <w:szCs w:val="21"/>
          <w:lang w:val="en-US" w:eastAsia="zh-CN" w:bidi="ar"/>
        </w:rPr>
        <w:t xml:space="preserve"> where </w:t>
      </w:r>
      <w:r>
        <w:rPr>
          <w:bCs/>
          <w:color w:val="auto"/>
          <w:szCs w:val="21"/>
          <w:lang w:val="en-US" w:eastAsia="zh-CN" w:bidi="ar"/>
        </w:rPr>
        <w:t>I</w:t>
      </w:r>
      <w:r>
        <w:rPr>
          <w:bCs/>
          <w:color w:val="auto"/>
          <w:szCs w:val="21"/>
          <w:vertAlign w:val="subscript"/>
          <w:lang w:val="en-US" w:eastAsia="zh-CN" w:bidi="ar"/>
        </w:rPr>
        <w:t>ICI</w:t>
      </w:r>
      <w:r>
        <w:rPr>
          <w:rFonts w:hint="eastAsia"/>
          <w:bCs/>
          <w:color w:val="auto"/>
          <w:szCs w:val="21"/>
          <w:vertAlign w:val="subscript"/>
          <w:lang w:val="en-US" w:eastAsia="zh-CN" w:bidi="ar"/>
        </w:rPr>
        <w:t xml:space="preserve"> </w:t>
      </w:r>
      <w:r>
        <w:rPr>
          <w:rFonts w:hint="eastAsia"/>
          <w:bCs/>
          <w:color w:val="auto"/>
          <w:szCs w:val="21"/>
          <w:vertAlign w:val="baseline"/>
          <w:lang w:val="en-US" w:eastAsia="zh-CN" w:bidi="ar"/>
        </w:rPr>
        <w:t>is the co-channel interference</w:t>
      </w:r>
    </w:p>
    <w:p>
      <w:pPr>
        <w:widowControl w:val="0"/>
        <w:numPr>
          <w:ilvl w:val="0"/>
          <w:numId w:val="13"/>
        </w:numPr>
        <w:spacing w:after="120"/>
        <w:ind w:left="420" w:hanging="420"/>
        <w:jc w:val="both"/>
        <w:rPr>
          <w:bCs/>
          <w:color w:val="auto"/>
          <w:szCs w:val="21"/>
          <w:lang w:val="en-US"/>
        </w:rPr>
      </w:pPr>
      <w:r>
        <w:rPr>
          <w:bCs/>
          <w:color w:val="auto"/>
          <w:szCs w:val="21"/>
          <w:lang w:val="en-US" w:eastAsia="zh-CN" w:bidi="ar"/>
        </w:rPr>
        <w:t>SINR CDF with adjacent channel interference from synchronization intra-system</w:t>
      </w:r>
      <w:r>
        <w:rPr>
          <w:rFonts w:hint="eastAsia"/>
          <w:bCs/>
          <w:color w:val="auto"/>
          <w:szCs w:val="21"/>
          <w:lang w:val="en-US" w:eastAsia="zh-CN" w:bidi="ar"/>
        </w:rPr>
        <w:t xml:space="preserve">: </w:t>
      </w:r>
      <w:r>
        <w:rPr>
          <w:bCs/>
          <w:color w:val="auto"/>
          <w:szCs w:val="21"/>
          <w:lang w:val="en-US" w:eastAsia="zh-CN" w:bidi="ar"/>
        </w:rPr>
        <w:t>Here the SINR=S/(N+I</w:t>
      </w:r>
      <w:r>
        <w:rPr>
          <w:bCs/>
          <w:color w:val="auto"/>
          <w:szCs w:val="21"/>
          <w:vertAlign w:val="subscript"/>
          <w:lang w:val="en-US" w:eastAsia="zh-CN" w:bidi="ar"/>
        </w:rPr>
        <w:t xml:space="preserve">ICI </w:t>
      </w:r>
      <w:r>
        <w:rPr>
          <w:bCs/>
          <w:color w:val="auto"/>
          <w:szCs w:val="21"/>
          <w:lang w:val="en-US" w:eastAsia="zh-CN" w:bidi="ar"/>
        </w:rPr>
        <w:t>+</w:t>
      </w:r>
      <w:r>
        <w:rPr>
          <w:bCs/>
          <w:color w:val="auto"/>
          <w:szCs w:val="21"/>
          <w:vertAlign w:val="subscript"/>
          <w:lang w:val="en-US" w:eastAsia="zh-CN" w:bidi="ar"/>
        </w:rPr>
        <w:t xml:space="preserve"> </w:t>
      </w:r>
      <w:r>
        <w:rPr>
          <w:bCs/>
          <w:color w:val="auto"/>
          <w:szCs w:val="21"/>
          <w:lang w:val="en-US" w:eastAsia="zh-CN" w:bidi="ar"/>
        </w:rPr>
        <w:t>I</w:t>
      </w:r>
      <w:r>
        <w:rPr>
          <w:bCs/>
          <w:color w:val="auto"/>
          <w:szCs w:val="21"/>
          <w:vertAlign w:val="subscript"/>
          <w:lang w:val="en-US" w:eastAsia="zh-CN" w:bidi="ar"/>
        </w:rPr>
        <w:t>ACI</w:t>
      </w:r>
      <w:r>
        <w:rPr>
          <w:bCs/>
          <w:color w:val="auto"/>
          <w:szCs w:val="21"/>
          <w:lang w:val="en-US" w:eastAsia="zh-CN" w:bidi="ar"/>
        </w:rPr>
        <w:t>).</w:t>
      </w:r>
    </w:p>
    <w:p>
      <w:pPr>
        <w:widowControl w:val="0"/>
        <w:numPr>
          <w:ilvl w:val="1"/>
          <w:numId w:val="13"/>
        </w:numPr>
        <w:spacing w:after="120"/>
        <w:ind w:left="840" w:hanging="420"/>
        <w:jc w:val="both"/>
        <w:rPr>
          <w:bCs/>
          <w:color w:val="auto"/>
          <w:szCs w:val="21"/>
          <w:lang w:val="en-US"/>
        </w:rPr>
      </w:pPr>
      <w:r>
        <w:rPr>
          <w:bCs/>
          <w:color w:val="auto"/>
          <w:szCs w:val="21"/>
          <w:lang w:val="en-US" w:eastAsia="zh-CN" w:bidi="ar"/>
        </w:rPr>
        <w:t>For TN, I</w:t>
      </w:r>
      <w:r>
        <w:rPr>
          <w:bCs/>
          <w:color w:val="auto"/>
          <w:szCs w:val="21"/>
          <w:vertAlign w:val="subscript"/>
          <w:lang w:val="en-US" w:eastAsia="zh-CN" w:bidi="ar"/>
        </w:rPr>
        <w:t xml:space="preserve">ACI </w:t>
      </w:r>
      <w:r>
        <w:rPr>
          <w:bCs/>
          <w:color w:val="auto"/>
          <w:szCs w:val="21"/>
          <w:lang w:val="en-US" w:eastAsia="zh-CN" w:bidi="ar"/>
        </w:rPr>
        <w:t>is from synchronized TN network using adjacent channel</w:t>
      </w:r>
    </w:p>
    <w:p>
      <w:pPr>
        <w:widowControl w:val="0"/>
        <w:numPr>
          <w:ilvl w:val="1"/>
          <w:numId w:val="13"/>
        </w:numPr>
        <w:spacing w:after="120"/>
        <w:ind w:left="840" w:hanging="420"/>
        <w:jc w:val="both"/>
        <w:rPr>
          <w:bCs/>
          <w:color w:val="auto"/>
          <w:szCs w:val="21"/>
          <w:lang w:val="en-US"/>
        </w:rPr>
      </w:pPr>
      <w:r>
        <w:rPr>
          <w:bCs/>
          <w:color w:val="auto"/>
          <w:szCs w:val="21"/>
          <w:lang w:val="en-US" w:eastAsia="zh-CN" w:bidi="ar"/>
        </w:rPr>
        <w:t>For ATG, due to we only consider one ATG BS and UE, I</w:t>
      </w:r>
      <w:r>
        <w:rPr>
          <w:bCs/>
          <w:color w:val="auto"/>
          <w:szCs w:val="21"/>
          <w:vertAlign w:val="subscript"/>
          <w:lang w:val="en-US" w:eastAsia="zh-CN" w:bidi="ar"/>
        </w:rPr>
        <w:t xml:space="preserve">ACI </w:t>
      </w:r>
      <w:r>
        <w:rPr>
          <w:bCs/>
          <w:color w:val="auto"/>
          <w:szCs w:val="21"/>
          <w:lang w:val="en-US" w:eastAsia="zh-CN" w:bidi="ar"/>
        </w:rPr>
        <w:t>and I</w:t>
      </w:r>
      <w:r>
        <w:rPr>
          <w:bCs/>
          <w:color w:val="auto"/>
          <w:szCs w:val="21"/>
          <w:vertAlign w:val="subscript"/>
          <w:lang w:val="en-US" w:eastAsia="zh-CN" w:bidi="ar"/>
        </w:rPr>
        <w:t>ICI</w:t>
      </w:r>
      <w:r>
        <w:rPr>
          <w:bCs/>
          <w:color w:val="auto"/>
          <w:szCs w:val="21"/>
          <w:lang w:val="en-US" w:eastAsia="zh-CN" w:bidi="ar"/>
        </w:rPr>
        <w:t xml:space="preserve"> are both 0</w:t>
      </w:r>
    </w:p>
    <w:p>
      <w:pPr>
        <w:widowControl w:val="0"/>
        <w:numPr>
          <w:ilvl w:val="0"/>
          <w:numId w:val="13"/>
        </w:numPr>
        <w:spacing w:after="120"/>
        <w:ind w:left="420" w:hanging="420"/>
        <w:jc w:val="both"/>
        <w:rPr>
          <w:bCs/>
          <w:color w:val="auto"/>
          <w:szCs w:val="21"/>
          <w:lang w:val="en-US"/>
        </w:rPr>
      </w:pPr>
      <w:r>
        <w:rPr>
          <w:bCs/>
          <w:color w:val="auto"/>
          <w:szCs w:val="21"/>
          <w:lang w:val="en-US" w:eastAsia="zh-CN" w:bidi="ar"/>
        </w:rPr>
        <w:t>SINR CDF with adjacent channel interference from synchronization inter-system</w:t>
      </w:r>
      <w:r>
        <w:rPr>
          <w:rFonts w:hint="eastAsia"/>
          <w:bCs/>
          <w:color w:val="auto"/>
          <w:szCs w:val="21"/>
          <w:lang w:val="en-US" w:eastAsia="zh-CN" w:bidi="ar"/>
        </w:rPr>
        <w:t>:</w:t>
      </w:r>
      <w:r>
        <w:rPr>
          <w:bCs/>
          <w:color w:val="auto"/>
          <w:szCs w:val="21"/>
          <w:lang w:val="en-US" w:eastAsia="zh-CN" w:bidi="ar"/>
        </w:rPr>
        <w:t xml:space="preserve"> Here the SINR=S/(N+I</w:t>
      </w:r>
      <w:r>
        <w:rPr>
          <w:bCs/>
          <w:color w:val="auto"/>
          <w:szCs w:val="21"/>
          <w:vertAlign w:val="subscript"/>
          <w:lang w:val="en-US" w:eastAsia="zh-CN" w:bidi="ar"/>
        </w:rPr>
        <w:t xml:space="preserve">ICI </w:t>
      </w:r>
      <w:r>
        <w:rPr>
          <w:bCs/>
          <w:color w:val="auto"/>
          <w:szCs w:val="21"/>
          <w:lang w:val="en-US" w:eastAsia="zh-CN" w:bidi="ar"/>
        </w:rPr>
        <w:t>+</w:t>
      </w:r>
      <w:r>
        <w:rPr>
          <w:bCs/>
          <w:color w:val="auto"/>
          <w:szCs w:val="21"/>
          <w:vertAlign w:val="subscript"/>
          <w:lang w:val="en-US" w:eastAsia="zh-CN" w:bidi="ar"/>
        </w:rPr>
        <w:t xml:space="preserve"> </w:t>
      </w:r>
      <w:r>
        <w:rPr>
          <w:bCs/>
          <w:color w:val="auto"/>
          <w:szCs w:val="21"/>
          <w:lang w:val="en-US" w:eastAsia="zh-CN" w:bidi="ar"/>
        </w:rPr>
        <w:t>I</w:t>
      </w:r>
      <w:r>
        <w:rPr>
          <w:bCs/>
          <w:color w:val="auto"/>
          <w:szCs w:val="21"/>
          <w:vertAlign w:val="subscript"/>
          <w:lang w:val="en-US" w:eastAsia="zh-CN" w:bidi="ar"/>
        </w:rPr>
        <w:t>ACI</w:t>
      </w:r>
      <w:r>
        <w:rPr>
          <w:bCs/>
          <w:color w:val="auto"/>
          <w:szCs w:val="21"/>
          <w:lang w:val="en-US" w:eastAsia="zh-CN" w:bidi="ar"/>
        </w:rPr>
        <w:t>).</w:t>
      </w:r>
    </w:p>
    <w:p>
      <w:pPr>
        <w:widowControl w:val="0"/>
        <w:numPr>
          <w:ilvl w:val="1"/>
          <w:numId w:val="13"/>
        </w:numPr>
        <w:spacing w:after="120"/>
        <w:ind w:left="840" w:hanging="420"/>
        <w:jc w:val="both"/>
        <w:rPr>
          <w:color w:val="auto"/>
        </w:rPr>
      </w:pPr>
      <w:r>
        <w:rPr>
          <w:color w:val="auto"/>
          <w:szCs w:val="24"/>
          <w:lang w:val="en-US" w:eastAsia="zh-CN" w:bidi="ar"/>
        </w:rPr>
        <w:t>For TN, I</w:t>
      </w:r>
      <w:r>
        <w:rPr>
          <w:color w:val="auto"/>
          <w:szCs w:val="24"/>
          <w:vertAlign w:val="subscript"/>
          <w:lang w:val="en-US" w:eastAsia="zh-CN" w:bidi="ar"/>
        </w:rPr>
        <w:t>ACI</w:t>
      </w:r>
      <w:r>
        <w:rPr>
          <w:color w:val="auto"/>
          <w:szCs w:val="24"/>
          <w:lang w:val="en-US" w:eastAsia="zh-CN" w:bidi="ar"/>
        </w:rPr>
        <w:t xml:space="preserve"> is from synchronized ATG network using adjacent channel</w:t>
      </w:r>
    </w:p>
    <w:p>
      <w:pPr>
        <w:widowControl w:val="0"/>
        <w:numPr>
          <w:ilvl w:val="1"/>
          <w:numId w:val="13"/>
        </w:numPr>
        <w:spacing w:after="120"/>
        <w:ind w:left="840" w:hanging="420"/>
        <w:jc w:val="both"/>
        <w:rPr>
          <w:color w:val="auto"/>
        </w:rPr>
      </w:pPr>
      <w:r>
        <w:rPr>
          <w:color w:val="auto"/>
          <w:szCs w:val="24"/>
          <w:lang w:val="en-US" w:eastAsia="zh-CN" w:bidi="ar"/>
        </w:rPr>
        <w:t>For ATG, I</w:t>
      </w:r>
      <w:r>
        <w:rPr>
          <w:color w:val="auto"/>
          <w:szCs w:val="24"/>
          <w:vertAlign w:val="subscript"/>
          <w:lang w:val="en-US" w:eastAsia="zh-CN" w:bidi="ar"/>
        </w:rPr>
        <w:t>ACI</w:t>
      </w:r>
      <w:r>
        <w:rPr>
          <w:color w:val="auto"/>
          <w:szCs w:val="24"/>
          <w:lang w:val="en-US" w:eastAsia="zh-CN" w:bidi="ar"/>
        </w:rPr>
        <w:t xml:space="preserve"> is from synchronized TN network using adjacent channel and I</w:t>
      </w:r>
      <w:r>
        <w:rPr>
          <w:color w:val="auto"/>
          <w:szCs w:val="24"/>
          <w:vertAlign w:val="subscript"/>
          <w:lang w:val="en-US" w:eastAsia="zh-CN" w:bidi="ar"/>
        </w:rPr>
        <w:t>ICI</w:t>
      </w:r>
      <w:r>
        <w:rPr>
          <w:color w:val="auto"/>
          <w:szCs w:val="24"/>
          <w:lang w:val="en-US" w:eastAsia="zh-CN" w:bidi="ar"/>
        </w:rPr>
        <w:t xml:space="preserve"> is 0</w:t>
      </w:r>
    </w:p>
    <w:p>
      <w:pPr>
        <w:jc w:val="both"/>
        <w:rPr>
          <w:rFonts w:cs="Arial"/>
          <w:lang w:eastAsia="ja-JP"/>
        </w:rPr>
      </w:pPr>
      <w:r>
        <w:rPr>
          <w:rFonts w:cs="Arial"/>
        </w:rPr>
        <w:t xml:space="preserve">The below linked sheet captures the data of </w:t>
      </w:r>
      <w:r>
        <w:rPr>
          <w:rFonts w:hint="eastAsia" w:eastAsia="宋体" w:cs="Arial"/>
          <w:lang w:val="en-US" w:eastAsia="zh-CN"/>
        </w:rPr>
        <w:t xml:space="preserve">calibration </w:t>
      </w:r>
      <w:r>
        <w:rPr>
          <w:rFonts w:cs="Arial"/>
        </w:rPr>
        <w:t>co-existence simulation study for all synchronized scenarios. More details on the assumptions can be found in the Cover page of the sheet.</w:t>
      </w:r>
    </w:p>
    <w:p>
      <w:pPr>
        <w:widowControl w:val="0"/>
        <w:numPr>
          <w:ilvl w:val="0"/>
          <w:numId w:val="0"/>
        </w:numPr>
        <w:overflowPunct w:val="0"/>
        <w:autoSpaceDE w:val="0"/>
        <w:autoSpaceDN w:val="0"/>
        <w:adjustRightInd w:val="0"/>
        <w:spacing w:after="120"/>
        <w:jc w:val="both"/>
        <w:textAlignment w:val="baseline"/>
        <w:rPr>
          <w:rFonts w:hint="eastAsia" w:eastAsia="宋体"/>
          <w:lang w:eastAsia="zh-CN"/>
        </w:rPr>
      </w:pPr>
      <w:r>
        <w:rPr>
          <w:rFonts w:hint="eastAsia" w:eastAsia="宋体"/>
          <w:lang w:eastAsia="zh-CN"/>
        </w:rPr>
        <w:object>
          <v:shape id="_x0000_i1091" o:spt="75" type="#_x0000_t75" style="height:65.5pt;width:72.5pt;" o:ole="t" filled="f" o:preferrelative="t" stroked="f" coordsize="21600,21600">
            <v:path/>
            <v:fill on="f" focussize="0,0"/>
            <v:stroke on="f"/>
            <v:imagedata r:id="rId219" o:title=""/>
            <o:lock v:ext="edit" aspectratio="t"/>
            <w10:wrap type="none"/>
            <w10:anchorlock/>
          </v:shape>
          <o:OLEObject Type="Embed" ProgID="Excel.Sheet.12" ShapeID="_x0000_i1091" DrawAspect="Icon" ObjectID="_1468075790" r:id="rId218">
            <o:LockedField>false</o:LockedField>
          </o:OLEObject>
        </w:object>
      </w:r>
    </w:p>
    <w:p>
      <w:pPr>
        <w:rPr>
          <w:rFonts w:eastAsia="宋体"/>
          <w:lang w:eastAsia="zh-CN"/>
        </w:rPr>
      </w:pPr>
    </w:p>
    <w:p>
      <w:pPr>
        <w:pStyle w:val="2"/>
        <w:rPr>
          <w:rFonts w:hint="default"/>
          <w:lang w:val="en-US" w:eastAsia="zh-CN"/>
        </w:rPr>
      </w:pPr>
      <w:bookmarkStart w:id="1393" w:name="_Toc11227"/>
      <w:bookmarkStart w:id="1394" w:name="_Toc24013"/>
      <w:bookmarkStart w:id="1395" w:name="_Toc59"/>
      <w:bookmarkStart w:id="1396" w:name="_Toc29141"/>
      <w:bookmarkStart w:id="1397" w:name="_Toc631"/>
      <w:bookmarkStart w:id="1398" w:name="_Toc2216"/>
      <w:bookmarkStart w:id="1399" w:name="_Toc16197"/>
      <w:bookmarkStart w:id="1400" w:name="_Toc19076"/>
      <w:bookmarkStart w:id="1401" w:name="_Toc7669"/>
      <w:r>
        <w:rPr>
          <w:rFonts w:hint="eastAsia"/>
          <w:lang w:eastAsia="zh-CN"/>
        </w:rPr>
        <w:t>Annex B:</w:t>
      </w:r>
      <w:r>
        <w:rPr>
          <w:rFonts w:hint="eastAsia"/>
          <w:lang w:eastAsia="zh-CN"/>
        </w:rPr>
        <w:tab/>
      </w:r>
      <w:r>
        <w:rPr>
          <w:rFonts w:hint="eastAsia"/>
          <w:lang w:eastAsia="zh-CN"/>
        </w:rPr>
        <w:t xml:space="preserve">Calibration results of </w:t>
      </w:r>
      <w:r>
        <w:rPr>
          <w:rFonts w:hint="eastAsia"/>
          <w:lang w:val="en-US" w:eastAsia="zh-CN"/>
        </w:rPr>
        <w:t>non-synchronized operation</w:t>
      </w:r>
      <w:bookmarkEnd w:id="1393"/>
      <w:bookmarkEnd w:id="1394"/>
      <w:bookmarkEnd w:id="1395"/>
      <w:bookmarkEnd w:id="1396"/>
      <w:bookmarkEnd w:id="1397"/>
      <w:bookmarkEnd w:id="1398"/>
      <w:bookmarkEnd w:id="1399"/>
      <w:bookmarkEnd w:id="1400"/>
      <w:bookmarkEnd w:id="1401"/>
    </w:p>
    <w:p>
      <w:pPr>
        <w:pStyle w:val="3"/>
      </w:pPr>
      <w:bookmarkStart w:id="1402" w:name="_Toc14031"/>
      <w:bookmarkStart w:id="1403" w:name="_Toc10037"/>
      <w:bookmarkStart w:id="1404" w:name="_Toc9700"/>
      <w:bookmarkStart w:id="1405" w:name="_Toc22378"/>
      <w:bookmarkStart w:id="1406" w:name="_Toc21663"/>
      <w:bookmarkStart w:id="1407" w:name="_Toc6244"/>
      <w:bookmarkStart w:id="1408" w:name="_Toc18716"/>
      <w:bookmarkStart w:id="1409" w:name="_Toc30539"/>
      <w:bookmarkStart w:id="1410" w:name="_Toc30080"/>
      <w:r>
        <w:t>B.1</w:t>
      </w:r>
      <w:r>
        <w:tab/>
      </w:r>
      <w:r>
        <w:t>Calibration assumptions</w:t>
      </w:r>
      <w:bookmarkEnd w:id="1402"/>
      <w:bookmarkEnd w:id="1403"/>
      <w:bookmarkEnd w:id="1404"/>
      <w:bookmarkEnd w:id="1405"/>
      <w:bookmarkEnd w:id="1406"/>
      <w:bookmarkEnd w:id="1407"/>
      <w:bookmarkEnd w:id="1408"/>
      <w:bookmarkEnd w:id="1409"/>
      <w:bookmarkEnd w:id="1410"/>
    </w:p>
    <w:p>
      <w:r>
        <w:rPr>
          <w:rFonts w:hint="eastAsia" w:eastAsia="宋体"/>
          <w:lang w:val="en-US" w:eastAsia="zh-CN"/>
        </w:rPr>
        <w:t xml:space="preserve">The calibration assumptions is the same as listed in clause 6.2 and 6.3. </w:t>
      </w:r>
    </w:p>
    <w:p>
      <w:pPr>
        <w:pStyle w:val="3"/>
        <w:rPr>
          <w:rFonts w:hint="eastAsia" w:eastAsia="宋体"/>
          <w:lang w:val="en-US" w:eastAsia="zh-CN"/>
        </w:rPr>
      </w:pPr>
      <w:bookmarkStart w:id="1411" w:name="_Toc24827"/>
      <w:bookmarkStart w:id="1412" w:name="_Toc24997"/>
      <w:bookmarkStart w:id="1413" w:name="_Toc9534"/>
      <w:bookmarkStart w:id="1414" w:name="_Toc25416"/>
      <w:bookmarkStart w:id="1415" w:name="_Toc25395"/>
      <w:bookmarkStart w:id="1416" w:name="_Toc9879"/>
      <w:bookmarkStart w:id="1417" w:name="_Toc8117"/>
      <w:bookmarkStart w:id="1418" w:name="_Toc4498"/>
      <w:bookmarkStart w:id="1419" w:name="_Toc30506"/>
      <w:r>
        <w:t>B.2</w:t>
      </w:r>
      <w:r>
        <w:tab/>
      </w:r>
      <w:r>
        <w:t>Calibration results at 2GHz</w:t>
      </w:r>
      <w:r>
        <w:rPr>
          <w:rFonts w:hint="eastAsia" w:eastAsia="宋体"/>
          <w:lang w:val="en-US" w:eastAsia="zh-CN"/>
        </w:rPr>
        <w:t xml:space="preserve"> and 4GHz</w:t>
      </w:r>
      <w:bookmarkEnd w:id="1411"/>
      <w:bookmarkEnd w:id="1412"/>
      <w:bookmarkEnd w:id="1413"/>
      <w:bookmarkEnd w:id="1414"/>
      <w:bookmarkEnd w:id="1415"/>
      <w:bookmarkEnd w:id="1416"/>
      <w:bookmarkEnd w:id="1417"/>
      <w:bookmarkEnd w:id="1418"/>
      <w:bookmarkEnd w:id="1419"/>
    </w:p>
    <w:p>
      <w:r>
        <w:rPr>
          <w:rStyle w:val="54"/>
          <w:rFonts w:hint="eastAsia" w:eastAsiaTheme="minorEastAsia"/>
          <w:i w:val="0"/>
          <w:iCs w:val="0"/>
          <w:sz w:val="21"/>
          <w:szCs w:val="21"/>
          <w:shd w:val="clear" w:color="auto" w:fill="FFFFFF"/>
          <w:lang w:val="en-US" w:eastAsia="zh-CN"/>
        </w:rPr>
        <w:t>F</w:t>
      </w:r>
      <w:r>
        <w:rPr>
          <w:rStyle w:val="54"/>
          <w:rFonts w:eastAsiaTheme="minorEastAsia"/>
          <w:i w:val="0"/>
          <w:iCs w:val="0"/>
          <w:sz w:val="21"/>
          <w:szCs w:val="21"/>
          <w:shd w:val="clear" w:color="auto" w:fill="FFFFFF"/>
          <w:lang w:val="en-US" w:eastAsia="zh-CN"/>
        </w:rPr>
        <w:t xml:space="preserve">or non-synchronized </w:t>
      </w:r>
      <w:r>
        <w:rPr>
          <w:rStyle w:val="54"/>
          <w:rFonts w:hint="eastAsia" w:eastAsiaTheme="minorEastAsia"/>
          <w:i w:val="0"/>
          <w:iCs w:val="0"/>
          <w:sz w:val="21"/>
          <w:szCs w:val="21"/>
          <w:shd w:val="clear" w:color="auto" w:fill="FFFFFF"/>
          <w:lang w:val="en-US" w:eastAsia="zh-CN"/>
        </w:rPr>
        <w:t xml:space="preserve">operation, </w:t>
      </w:r>
      <w:r>
        <w:rPr>
          <w:rStyle w:val="54"/>
          <w:rFonts w:eastAsiaTheme="minorEastAsia"/>
          <w:i w:val="0"/>
          <w:iCs w:val="0"/>
          <w:sz w:val="21"/>
          <w:szCs w:val="21"/>
          <w:shd w:val="clear" w:color="auto" w:fill="FFFFFF"/>
          <w:lang w:val="en-US" w:eastAsia="zh-CN"/>
        </w:rPr>
        <w:t xml:space="preserve">the </w:t>
      </w:r>
      <w:r>
        <w:rPr>
          <w:rStyle w:val="54"/>
          <w:rFonts w:hint="eastAsia" w:eastAsiaTheme="minorEastAsia"/>
          <w:i w:val="0"/>
          <w:iCs w:val="0"/>
          <w:sz w:val="21"/>
          <w:szCs w:val="21"/>
          <w:shd w:val="clear" w:color="auto" w:fill="FFFFFF"/>
          <w:lang w:val="en-US" w:eastAsia="zh-CN"/>
        </w:rPr>
        <w:t xml:space="preserve">performance </w:t>
      </w:r>
      <w:r>
        <w:rPr>
          <w:rStyle w:val="54"/>
          <w:rFonts w:eastAsiaTheme="minorEastAsia"/>
          <w:i w:val="0"/>
          <w:iCs w:val="0"/>
          <w:sz w:val="21"/>
          <w:szCs w:val="21"/>
          <w:shd w:val="clear" w:color="auto" w:fill="FFFFFF"/>
          <w:lang w:val="en-US" w:eastAsia="zh-CN"/>
        </w:rPr>
        <w:t>metric to be calibrated would be</w:t>
      </w:r>
      <w:r>
        <w:rPr>
          <w:rStyle w:val="54"/>
          <w:rFonts w:hint="eastAsia" w:eastAsiaTheme="minorEastAsia"/>
          <w:i w:val="0"/>
          <w:iCs w:val="0"/>
          <w:sz w:val="21"/>
          <w:szCs w:val="21"/>
          <w:shd w:val="clear" w:color="auto" w:fill="FFFFFF"/>
          <w:lang w:val="en-US" w:eastAsia="zh-CN"/>
        </w:rPr>
        <w:t xml:space="preserve"> the </w:t>
      </w:r>
      <w:r>
        <w:rPr>
          <w:rStyle w:val="54"/>
          <w:rFonts w:eastAsiaTheme="minorEastAsia"/>
          <w:i w:val="0"/>
          <w:iCs w:val="0"/>
          <w:sz w:val="21"/>
          <w:szCs w:val="21"/>
          <w:shd w:val="clear" w:color="auto" w:fill="FFFFFF"/>
          <w:lang w:val="en-US" w:eastAsia="zh-CN"/>
        </w:rPr>
        <w:t xml:space="preserve">Cross coupling loss between ATG BS and TN BS with 0 azimuth angle </w:t>
      </w:r>
      <w:r>
        <w:rPr>
          <w:rStyle w:val="54"/>
          <w:rFonts w:eastAsiaTheme="minorEastAsia"/>
          <w:i w:val="0"/>
          <w:iCs w:val="0"/>
          <w:sz w:val="21"/>
          <w:szCs w:val="21"/>
          <w:lang w:val="en-US" w:eastAsia="zh-CN"/>
        </w:rPr>
        <w:t>(TN and ATG BS on the same horizontal line)</w:t>
      </w:r>
      <w:r>
        <w:rPr>
          <w:rStyle w:val="54"/>
          <w:rFonts w:hint="eastAsia" w:eastAsiaTheme="minorEastAsia"/>
          <w:i w:val="0"/>
          <w:iCs w:val="0"/>
          <w:sz w:val="21"/>
          <w:szCs w:val="21"/>
          <w:lang w:val="en-US" w:eastAsia="zh-CN"/>
        </w:rPr>
        <w:t xml:space="preserve">. besides, </w:t>
      </w:r>
      <w:r>
        <w:rPr>
          <w:rStyle w:val="54"/>
          <w:rFonts w:eastAsiaTheme="minorEastAsia"/>
          <w:i w:val="0"/>
          <w:iCs w:val="0"/>
          <w:sz w:val="21"/>
          <w:szCs w:val="21"/>
          <w:shd w:val="clear" w:color="auto" w:fill="FFFFFF"/>
          <w:lang w:val="en-US" w:eastAsia="zh-CN"/>
        </w:rPr>
        <w:t>5 km isolation distance</w:t>
      </w:r>
      <w:r>
        <w:rPr>
          <w:rStyle w:val="54"/>
          <w:rFonts w:hint="eastAsia" w:eastAsiaTheme="minorEastAsia"/>
          <w:i w:val="0"/>
          <w:iCs w:val="0"/>
          <w:sz w:val="21"/>
          <w:szCs w:val="21"/>
          <w:shd w:val="clear" w:color="auto" w:fill="FFFFFF"/>
          <w:lang w:val="en-US" w:eastAsia="zh-CN"/>
        </w:rPr>
        <w:t xml:space="preserve"> is assumed between ATG BS and nearest TN BS.</w:t>
      </w:r>
    </w:p>
    <w:p>
      <w:pPr>
        <w:jc w:val="both"/>
        <w:rPr>
          <w:lang w:eastAsia="zh-CN"/>
        </w:rPr>
      </w:pPr>
      <w:r>
        <w:rPr>
          <w:rFonts w:cs="Arial"/>
        </w:rPr>
        <w:t xml:space="preserve">The below linked sheet captures the data of </w:t>
      </w:r>
      <w:r>
        <w:rPr>
          <w:rFonts w:hint="eastAsia" w:eastAsia="宋体" w:cs="Arial"/>
          <w:lang w:val="en-US" w:eastAsia="zh-CN"/>
        </w:rPr>
        <w:t xml:space="preserve">calibration </w:t>
      </w:r>
      <w:r>
        <w:rPr>
          <w:rFonts w:cs="Arial"/>
        </w:rPr>
        <w:t xml:space="preserve">co-existence simulation study for all </w:t>
      </w:r>
      <w:r>
        <w:rPr>
          <w:rFonts w:hint="eastAsia" w:cs="Arial"/>
          <w:lang w:val="en-US" w:eastAsia="zh-CN"/>
        </w:rPr>
        <w:t>non-</w:t>
      </w:r>
      <w:r>
        <w:rPr>
          <w:rFonts w:cs="Arial"/>
        </w:rPr>
        <w:t xml:space="preserve">synchronized scenarios. </w:t>
      </w:r>
    </w:p>
    <w:bookmarkEnd w:id="1373"/>
    <w:bookmarkEnd w:id="1374"/>
    <w:p>
      <w:r>
        <w:rPr>
          <w:rFonts w:hint="eastAsia" w:eastAsia="宋体"/>
          <w:lang w:val="en-GB" w:eastAsia="zh-CN"/>
        </w:rPr>
        <w:object>
          <v:shape id="_x0000_i1092" o:spt="75" type="#_x0000_t75" style="height:65.5pt;width:72.5pt;" o:ole="t" filled="f" o:preferrelative="t" stroked="f" coordsize="21600,21600">
            <v:path/>
            <v:fill on="f" focussize="0,0"/>
            <v:stroke on="f"/>
            <v:imagedata r:id="rId221" o:title=""/>
            <o:lock v:ext="edit" aspectratio="t"/>
            <w10:wrap type="none"/>
            <w10:anchorlock/>
          </v:shape>
          <o:OLEObject Type="Embed" ProgID="Excel.Sheet.12" ShapeID="_x0000_i1092" DrawAspect="Icon" ObjectID="_1468075791" r:id="rId220">
            <o:LockedField>false</o:LockedField>
          </o:OLEObject>
        </w:object>
      </w:r>
    </w:p>
    <w:p>
      <w:pPr>
        <w:pStyle w:val="2"/>
        <w:rPr>
          <w:rFonts w:hint="eastAsia" w:eastAsia="Times New Roman"/>
          <w:lang w:eastAsia="zh-CN"/>
        </w:rPr>
      </w:pPr>
      <w:r>
        <w:rPr>
          <w:rFonts w:hint="eastAsia" w:eastAsia="Times New Roman"/>
          <w:lang w:eastAsia="zh-CN"/>
        </w:rPr>
        <w:t xml:space="preserve"> </w:t>
      </w:r>
      <w:bookmarkStart w:id="1420" w:name="_Toc12364"/>
      <w:bookmarkStart w:id="1421" w:name="_Toc27229"/>
      <w:bookmarkStart w:id="1422" w:name="_Toc29720"/>
      <w:bookmarkStart w:id="1423" w:name="_Toc30722"/>
      <w:bookmarkStart w:id="1424" w:name="_Toc31300"/>
      <w:bookmarkStart w:id="1425" w:name="_Toc20157"/>
      <w:bookmarkStart w:id="1426" w:name="_Toc26297"/>
      <w:bookmarkStart w:id="1427" w:name="_Toc5978"/>
      <w:bookmarkStart w:id="1428" w:name="_Toc10365"/>
      <w:r>
        <w:rPr>
          <w:rFonts w:hint="eastAsia" w:eastAsia="Times New Roman"/>
          <w:lang w:eastAsia="zh-CN"/>
        </w:rPr>
        <w:t>Annex C</w:t>
      </w:r>
      <w:r>
        <w:rPr>
          <w:rFonts w:hint="eastAsia"/>
          <w:lang w:val="en-US" w:eastAsia="zh-CN"/>
        </w:rPr>
        <w:t>:</w:t>
      </w:r>
      <w:r>
        <w:rPr>
          <w:rFonts w:hint="eastAsia" w:eastAsia="Times New Roman"/>
          <w:lang w:eastAsia="zh-CN"/>
        </w:rPr>
        <w:t xml:space="preserve"> Co-existence scenarios simulation data</w:t>
      </w:r>
      <w:bookmarkEnd w:id="1420"/>
      <w:bookmarkEnd w:id="1421"/>
      <w:bookmarkEnd w:id="1422"/>
      <w:bookmarkEnd w:id="1423"/>
      <w:bookmarkEnd w:id="1424"/>
      <w:bookmarkEnd w:id="1425"/>
      <w:bookmarkEnd w:id="1426"/>
      <w:bookmarkEnd w:id="1427"/>
      <w:bookmarkEnd w:id="1428"/>
    </w:p>
    <w:p>
      <w:pPr>
        <w:pStyle w:val="3"/>
        <w:jc w:val="both"/>
      </w:pPr>
      <w:bookmarkStart w:id="1429" w:name="_Toc430"/>
      <w:bookmarkStart w:id="1430" w:name="_Toc17566"/>
      <w:bookmarkStart w:id="1431" w:name="_Toc30784"/>
      <w:bookmarkStart w:id="1432" w:name="_Toc20240"/>
      <w:bookmarkStart w:id="1433" w:name="_Toc14042"/>
      <w:bookmarkStart w:id="1434" w:name="_Toc32064"/>
      <w:bookmarkStart w:id="1435" w:name="_Toc31662"/>
      <w:bookmarkStart w:id="1436" w:name="_Toc9429"/>
      <w:bookmarkStart w:id="1437" w:name="_Toc17407"/>
      <w:r>
        <w:t>C.1 Synchronized scenarios</w:t>
      </w:r>
      <w:bookmarkEnd w:id="1429"/>
      <w:bookmarkEnd w:id="1430"/>
      <w:bookmarkEnd w:id="1431"/>
      <w:bookmarkEnd w:id="1432"/>
      <w:bookmarkEnd w:id="1433"/>
      <w:bookmarkEnd w:id="1434"/>
      <w:bookmarkEnd w:id="1435"/>
      <w:bookmarkEnd w:id="1436"/>
      <w:bookmarkEnd w:id="1437"/>
    </w:p>
    <w:p>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pPr>
        <w:jc w:val="both"/>
        <w:rPr>
          <w:rFonts w:cs="Arial"/>
          <w:lang w:eastAsia="ja-JP"/>
        </w:rPr>
      </w:pPr>
      <w:r>
        <w:rPr>
          <w:rFonts w:cs="Arial"/>
          <w:lang w:eastAsia="ja-JP"/>
        </w:rPr>
        <w:object>
          <v:shape id="_x0000_i1093" o:spt="75" type="#_x0000_t75" style="height:58.5pt;width:90pt;" o:ole="t" filled="f" o:preferrelative="t" stroked="f" coordsize="21600,21600">
            <v:path/>
            <v:fill on="f" focussize="0,0"/>
            <v:stroke on="f" joinstyle="miter"/>
            <v:imagedata r:id="rId223" o:title=""/>
            <o:lock v:ext="edit" aspectratio="t"/>
            <w10:wrap type="none"/>
            <w10:anchorlock/>
          </v:shape>
          <o:OLEObject Type="Embed" ProgID="Excel.Sheet.12" ShapeID="_x0000_i1093" DrawAspect="Icon" ObjectID="_1468075792" r:id="rId222">
            <o:LockedField>false</o:LockedField>
          </o:OLEObject>
        </w:object>
      </w:r>
    </w:p>
    <w:p>
      <w:pPr>
        <w:pStyle w:val="3"/>
        <w:jc w:val="both"/>
      </w:pPr>
      <w:bookmarkStart w:id="1438" w:name="_Toc16752"/>
      <w:bookmarkStart w:id="1439" w:name="_Toc15263"/>
      <w:bookmarkStart w:id="1440" w:name="_Toc22601"/>
      <w:bookmarkStart w:id="1441" w:name="_Toc26028"/>
      <w:bookmarkStart w:id="1442" w:name="_Toc23852"/>
      <w:bookmarkStart w:id="1443" w:name="_Toc24388"/>
      <w:bookmarkStart w:id="1444" w:name="_Toc24446"/>
      <w:bookmarkStart w:id="1445" w:name="_Toc2528"/>
      <w:bookmarkStart w:id="1446" w:name="_Toc11194"/>
      <w:r>
        <w:t>C.2 Non-Synchronized scenarios</w:t>
      </w:r>
      <w:bookmarkEnd w:id="1438"/>
      <w:bookmarkEnd w:id="1439"/>
      <w:bookmarkEnd w:id="1440"/>
      <w:bookmarkEnd w:id="1441"/>
      <w:bookmarkEnd w:id="1442"/>
      <w:bookmarkEnd w:id="1443"/>
      <w:bookmarkEnd w:id="1444"/>
      <w:bookmarkEnd w:id="1445"/>
      <w:bookmarkEnd w:id="1446"/>
    </w:p>
    <w:p>
      <w:pPr>
        <w:rPr>
          <w:lang w:val="en-GB" w:eastAsia="ja-JP"/>
        </w:rPr>
      </w:pPr>
      <w:r>
        <w:rPr>
          <w:lang w:val="en-GB" w:eastAsia="ja-JP"/>
        </w:rPr>
        <w:t>The below linked sheet captures the data of co-existence simulation results for non-synchronized scenarios. More details can be found in the Cover page of the sheet.</w:t>
      </w:r>
    </w:p>
    <w:p>
      <w:pPr>
        <w:rPr>
          <w:lang w:val="en-GB" w:eastAsia="ja-JP"/>
        </w:rPr>
      </w:pPr>
      <w:r>
        <w:rPr>
          <w:lang w:val="en-GB" w:eastAsia="ja-JP"/>
        </w:rPr>
        <w:t>Note – Some companies opted to only capture the results in the form of tables (Sub-clause 6.4.2)</w:t>
      </w:r>
    </w:p>
    <w:p>
      <w:pPr>
        <w:rPr>
          <w:lang w:eastAsia="ja-JP"/>
        </w:rPr>
      </w:pPr>
    </w:p>
    <w:p>
      <w:pPr>
        <w:rPr>
          <w:lang w:eastAsia="ja-JP"/>
        </w:rPr>
      </w:pPr>
      <w:r>
        <w:rPr>
          <w:lang w:eastAsia="ja-JP"/>
        </w:rPr>
        <w:object>
          <v:shape id="_x0000_i1094" o:spt="75" type="#_x0000_t75" style="height:43.2pt;width:66.8pt;" o:ole="t" filled="f" o:preferrelative="t" stroked="f" coordsize="21600,21600">
            <v:path/>
            <v:fill on="f" focussize="0,0"/>
            <v:stroke on="f" joinstyle="miter"/>
            <v:imagedata r:id="rId225" o:title=""/>
            <o:lock v:ext="edit" aspectratio="t"/>
            <w10:wrap type="none"/>
            <w10:anchorlock/>
          </v:shape>
          <o:OLEObject Type="Embed" ProgID="Excel.Sheet.12" ShapeID="_x0000_i1094" DrawAspect="Icon" ObjectID="_1468075793" r:id="rId224">
            <o:LockedField>false</o:LockedField>
          </o:OLEObject>
        </w:object>
      </w:r>
    </w:p>
    <w:p>
      <w:pPr>
        <w:pStyle w:val="2"/>
        <w:rPr>
          <w:rFonts w:hint="eastAsia"/>
          <w:lang w:eastAsia="zh-CN"/>
        </w:rPr>
      </w:pPr>
      <w:bookmarkStart w:id="1447" w:name="_Toc30490"/>
      <w:bookmarkStart w:id="1448" w:name="_Toc26396"/>
      <w:bookmarkStart w:id="1449" w:name="_Toc15866"/>
      <w:bookmarkStart w:id="1450" w:name="_Toc969"/>
      <w:bookmarkStart w:id="1451" w:name="_Toc29100"/>
      <w:bookmarkStart w:id="1452" w:name="_Toc4407"/>
      <w:bookmarkStart w:id="1453" w:name="_Toc27123"/>
      <w:bookmarkStart w:id="1454" w:name="_Toc13439"/>
      <w:bookmarkStart w:id="1455" w:name="_Toc11190"/>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bookmarkEnd w:id="1447"/>
      <w:bookmarkEnd w:id="1448"/>
      <w:bookmarkEnd w:id="1449"/>
      <w:bookmarkEnd w:id="1450"/>
      <w:bookmarkEnd w:id="1451"/>
      <w:bookmarkEnd w:id="1452"/>
      <w:bookmarkEnd w:id="1453"/>
      <w:bookmarkEnd w:id="1454"/>
      <w:bookmarkEnd w:id="1455"/>
    </w:p>
    <w:p>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pPr>
        <w:pStyle w:val="3"/>
        <w:jc w:val="both"/>
        <w:rPr>
          <w:lang w:eastAsia="ja-JP"/>
        </w:rPr>
      </w:pPr>
      <w:bookmarkStart w:id="1456" w:name="_Toc26780"/>
      <w:bookmarkStart w:id="1457" w:name="_Toc27166"/>
      <w:bookmarkStart w:id="1458" w:name="_Toc12302"/>
      <w:bookmarkStart w:id="1459" w:name="_Toc3527"/>
      <w:bookmarkStart w:id="1460" w:name="_Toc2744"/>
      <w:bookmarkStart w:id="1461" w:name="_Toc17873"/>
      <w:bookmarkStart w:id="1462" w:name="_Toc3865"/>
      <w:bookmarkStart w:id="1463" w:name="_Toc24787"/>
      <w:bookmarkStart w:id="1464" w:name="_Toc5226"/>
      <w:r>
        <w:rPr>
          <w:lang w:eastAsia="ja-JP"/>
        </w:rPr>
        <w:t>D.1 Synchronized scenarios</w:t>
      </w:r>
      <w:bookmarkEnd w:id="1456"/>
      <w:bookmarkEnd w:id="1457"/>
      <w:bookmarkEnd w:id="1458"/>
      <w:bookmarkEnd w:id="1459"/>
      <w:bookmarkEnd w:id="1460"/>
      <w:bookmarkEnd w:id="1461"/>
      <w:bookmarkEnd w:id="1462"/>
      <w:bookmarkEnd w:id="1463"/>
      <w:bookmarkEnd w:id="1464"/>
    </w:p>
    <w:p>
      <w:pPr>
        <w:pStyle w:val="4"/>
        <w:jc w:val="both"/>
        <w:rPr>
          <w:lang w:eastAsia="ja-JP"/>
        </w:rPr>
      </w:pPr>
      <w:bookmarkStart w:id="1465" w:name="_Toc16527"/>
      <w:bookmarkStart w:id="1466" w:name="_Toc30273"/>
      <w:bookmarkStart w:id="1467" w:name="_Toc10435"/>
      <w:bookmarkStart w:id="1468" w:name="_Toc19417"/>
      <w:bookmarkStart w:id="1469" w:name="_Toc13599"/>
      <w:bookmarkStart w:id="1470" w:name="_Toc26580"/>
      <w:bookmarkStart w:id="1471" w:name="_Toc24456"/>
      <w:bookmarkStart w:id="1472" w:name="_Toc27380"/>
      <w:bookmarkStart w:id="1473" w:name="_Toc13769"/>
      <w:r>
        <w:rPr>
          <w:lang w:val="en-IN" w:eastAsia="ja-JP"/>
        </w:rPr>
        <w:t xml:space="preserve">D.1.1  </w:t>
      </w:r>
      <w:r>
        <w:rPr>
          <w:lang w:eastAsia="ja-JP"/>
        </w:rPr>
        <w:t>Impact of the number of TN BS columns</w:t>
      </w:r>
      <w:bookmarkEnd w:id="1465"/>
      <w:bookmarkEnd w:id="1466"/>
      <w:bookmarkEnd w:id="1467"/>
      <w:bookmarkEnd w:id="1468"/>
      <w:bookmarkEnd w:id="1469"/>
      <w:bookmarkEnd w:id="1470"/>
      <w:bookmarkEnd w:id="1471"/>
      <w:bookmarkEnd w:id="1472"/>
      <w:bookmarkEnd w:id="1473"/>
    </w:p>
    <w:p>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pPr>
        <w:jc w:val="both"/>
        <w:rPr>
          <w:rFonts w:cs="Arial"/>
          <w:lang w:val="en-IN" w:eastAsia="ja-JP"/>
        </w:rPr>
      </w:pPr>
      <w:r>
        <w:rPr>
          <w:rFonts w:cs="Arial"/>
          <w:lang w:val="en-IN" w:eastAsia="ja-JP"/>
        </w:rPr>
        <w:t xml:space="preserve">The linked excel sheet provides detailed plots for the Scenarios 9-12. </w:t>
      </w:r>
    </w:p>
    <w:p>
      <w:pPr>
        <w:jc w:val="both"/>
        <w:rPr>
          <w:rFonts w:cs="Arial"/>
          <w:lang w:val="en-IN" w:eastAsia="ja-JP"/>
        </w:rPr>
      </w:pPr>
      <w:r>
        <w:rPr>
          <w:rFonts w:cs="Arial"/>
          <w:lang w:val="en-IN" w:eastAsia="ja-JP"/>
        </w:rPr>
        <w:object>
          <v:shape id="_x0000_i1095" o:spt="75" type="#_x0000_t75" style="height:53pt;width:81.5pt;" o:ole="t" filled="f" o:preferrelative="t" stroked="f" coordsize="21600,21600">
            <v:path/>
            <v:fill on="f" focussize="0,0"/>
            <v:stroke on="f" joinstyle="miter"/>
            <v:imagedata r:id="rId227" o:title=""/>
            <o:lock v:ext="edit" aspectratio="t"/>
            <w10:wrap type="none"/>
            <w10:anchorlock/>
          </v:shape>
          <o:OLEObject Type="Embed" ProgID="Excel.Sheet.12" ShapeID="_x0000_i1095" DrawAspect="Icon" ObjectID="_1468075794" r:id="rId226">
            <o:LockedField>false</o:LockedField>
          </o:OLEObject>
        </w:object>
      </w:r>
    </w:p>
    <w:p>
      <w:pPr>
        <w:jc w:val="both"/>
        <w:rPr>
          <w:rFonts w:cs="Arial"/>
          <w:lang w:val="en-IN" w:eastAsia="ja-JP"/>
        </w:rPr>
      </w:pPr>
      <w:r>
        <w:rPr>
          <w:rFonts w:hint="eastAsia" w:eastAsia="宋体"/>
          <w:lang w:val="en-US" w:eastAsia="zh-CN"/>
        </w:rPr>
        <w:t>It</w:t>
      </w:r>
      <w:r>
        <w:rPr>
          <w:rFonts w:hint="default" w:eastAsia="宋体"/>
          <w:lang w:val="en-US" w:eastAsia="zh-CN"/>
        </w:rPr>
        <w:t>’</w:t>
      </w:r>
      <w:r>
        <w:rPr>
          <w:rFonts w:hint="eastAsia" w:eastAsia="宋体"/>
          <w:lang w:val="en-US" w:eastAsia="zh-CN"/>
        </w:rPr>
        <w:t xml:space="preserve">s noted that </w:t>
      </w:r>
      <w:r>
        <w:rPr>
          <w:rFonts w:hint="eastAsia" w:eastAsia="宋体" w:cs="Arial"/>
          <w:lang w:val="en-US" w:eastAsia="zh-CN"/>
        </w:rPr>
        <w:t>t</w:t>
      </w:r>
      <w:r>
        <w:rPr>
          <w:rFonts w:cs="Arial"/>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pPr>
        <w:pStyle w:val="4"/>
        <w:jc w:val="both"/>
        <w:rPr>
          <w:lang w:eastAsia="ja-JP"/>
        </w:rPr>
      </w:pPr>
      <w:bookmarkStart w:id="1474" w:name="_Toc27683"/>
      <w:bookmarkStart w:id="1475" w:name="_Toc3408"/>
      <w:bookmarkStart w:id="1476" w:name="_Toc15046"/>
      <w:bookmarkStart w:id="1477" w:name="_Toc32714"/>
      <w:bookmarkStart w:id="1478" w:name="_Toc10683"/>
      <w:bookmarkStart w:id="1479" w:name="_Toc4617"/>
      <w:bookmarkStart w:id="1480" w:name="_Toc17988"/>
      <w:bookmarkStart w:id="1481" w:name="_Toc9259"/>
      <w:bookmarkStart w:id="1482" w:name="_Toc16104"/>
      <w:r>
        <w:rPr>
          <w:lang w:val="en-IN" w:eastAsia="ja-JP"/>
        </w:rPr>
        <w:t xml:space="preserve">D.1.2  </w:t>
      </w:r>
      <w:r>
        <w:rPr>
          <w:lang w:eastAsia="ja-JP"/>
        </w:rPr>
        <w:t>Impact of ATG UE antenna type</w:t>
      </w:r>
      <w:bookmarkEnd w:id="1474"/>
      <w:bookmarkEnd w:id="1475"/>
      <w:bookmarkEnd w:id="1476"/>
      <w:bookmarkEnd w:id="1477"/>
      <w:bookmarkEnd w:id="1478"/>
      <w:bookmarkEnd w:id="1479"/>
      <w:bookmarkEnd w:id="1480"/>
      <w:bookmarkEnd w:id="1481"/>
      <w:bookmarkEnd w:id="1482"/>
    </w:p>
    <w:p>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pPr>
        <w:jc w:val="both"/>
        <w:rPr>
          <w:rFonts w:cs="Arial"/>
          <w:lang w:val="en-IN" w:eastAsia="ja-JP"/>
        </w:rPr>
      </w:pPr>
      <w:r>
        <w:rPr>
          <w:rFonts w:cs="Arial"/>
          <w:lang w:val="en-IN" w:eastAsia="ja-JP"/>
        </w:rPr>
        <w:t xml:space="preserve">The linked excel sheet provides detailed plots for the Scenarios 1-4. </w:t>
      </w:r>
    </w:p>
    <w:p>
      <w:pPr>
        <w:jc w:val="both"/>
        <w:rPr>
          <w:rFonts w:cs="Arial"/>
          <w:lang w:val="en-IN" w:eastAsia="ja-JP"/>
        </w:rPr>
      </w:pPr>
      <w:r>
        <w:rPr>
          <w:rFonts w:cs="Arial"/>
          <w:lang w:val="en-IN" w:eastAsia="ja-JP"/>
        </w:rPr>
        <w:object>
          <v:shape id="_x0000_i1096" o:spt="75" type="#_x0000_t75" style="height:53pt;width:81.5pt;" o:ole="t" filled="f" o:preferrelative="t" stroked="f" coordsize="21600,21600">
            <v:path/>
            <v:fill on="f" focussize="0,0"/>
            <v:stroke on="f" joinstyle="miter"/>
            <v:imagedata r:id="rId229" o:title=""/>
            <o:lock v:ext="edit" aspectratio="t"/>
            <w10:wrap type="none"/>
            <w10:anchorlock/>
          </v:shape>
          <o:OLEObject Type="Embed" ProgID="Excel.Sheet.12" ShapeID="_x0000_i1096" DrawAspect="Icon" ObjectID="_1468075795" r:id="rId228">
            <o:LockedField>false</o:LockedField>
          </o:OLEObject>
        </w:object>
      </w:r>
    </w:p>
    <w:p>
      <w:pPr>
        <w:jc w:val="both"/>
        <w:rPr>
          <w:rFonts w:cs="Arial"/>
          <w:lang w:val="en-IN" w:eastAsia="ja-JP"/>
        </w:rPr>
      </w:pPr>
      <w:r>
        <w:rPr>
          <w:rFonts w:hint="eastAsia" w:eastAsia="宋体"/>
          <w:lang w:val="en-US" w:eastAsia="zh-CN"/>
        </w:rPr>
        <w:t>It</w:t>
      </w:r>
      <w:r>
        <w:rPr>
          <w:rFonts w:hint="default" w:eastAsia="宋体"/>
          <w:lang w:val="en-US" w:eastAsia="zh-CN"/>
        </w:rPr>
        <w:t>’</w:t>
      </w:r>
      <w:r>
        <w:rPr>
          <w:rFonts w:hint="eastAsia" w:eastAsia="宋体"/>
          <w:lang w:val="en-US" w:eastAsia="zh-CN"/>
        </w:rPr>
        <w:t xml:space="preserve">s noted </w:t>
      </w:r>
      <w:r>
        <w:rPr>
          <w:rFonts w:hint="eastAsia" w:eastAsia="宋体" w:cs="Arial"/>
          <w:lang w:val="en-US" w:eastAsia="zh-CN"/>
        </w:rPr>
        <w:t>t</w:t>
      </w:r>
      <w:r>
        <w:rPr>
          <w:rFonts w:cs="Arial"/>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pPr>
        <w:keepNext/>
        <w:jc w:val="both"/>
      </w:pPr>
      <w:r>
        <w:rPr>
          <w:rFonts w:cs="Arial"/>
        </w:rPr>
        <w:drawing>
          <wp:inline distT="0" distB="0" distL="0" distR="0">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pPr>
        <w:pStyle w:val="28"/>
        <w:jc w:val="center"/>
        <w:rPr>
          <w:rFonts w:ascii="Arial" w:hAnsi="Arial" w:cs="Arial"/>
          <w:lang w:val="en-IN" w:eastAsia="ja-JP"/>
        </w:rPr>
      </w:pPr>
      <w:r>
        <w:rPr>
          <w:rFonts w:ascii="Arial" w:hAnsi="Arial" w:cs="Arial"/>
        </w:rPr>
        <w:t>Figure D.1.2-1: Simulation results for Throughput Loss - 5% of users in the whole network</w:t>
      </w:r>
    </w:p>
    <w:p>
      <w:pPr>
        <w:pStyle w:val="4"/>
        <w:jc w:val="both"/>
        <w:rPr>
          <w:lang w:eastAsia="ja-JP"/>
        </w:rPr>
      </w:pPr>
      <w:bookmarkStart w:id="1483" w:name="_Toc6080"/>
      <w:bookmarkStart w:id="1484" w:name="_Toc18990"/>
      <w:bookmarkStart w:id="1485" w:name="_Toc9304"/>
      <w:bookmarkStart w:id="1486" w:name="_Toc11123"/>
      <w:bookmarkStart w:id="1487" w:name="_Toc13092"/>
      <w:bookmarkStart w:id="1488" w:name="_Toc13213"/>
      <w:bookmarkStart w:id="1489" w:name="_Toc739"/>
      <w:bookmarkStart w:id="1490" w:name="_Toc8934"/>
      <w:bookmarkStart w:id="1491" w:name="_Toc7368"/>
      <w:r>
        <w:rPr>
          <w:lang w:val="en-IN" w:eastAsia="ja-JP"/>
        </w:rPr>
        <w:t xml:space="preserve">D.1.3  </w:t>
      </w:r>
      <w:r>
        <w:rPr>
          <w:lang w:eastAsia="ja-JP"/>
        </w:rPr>
        <w:t>Impact of ATG-TN BS antennas collocation</w:t>
      </w:r>
      <w:bookmarkEnd w:id="1483"/>
      <w:bookmarkEnd w:id="1484"/>
      <w:bookmarkEnd w:id="1485"/>
      <w:bookmarkEnd w:id="1486"/>
      <w:bookmarkEnd w:id="1487"/>
      <w:bookmarkEnd w:id="1488"/>
      <w:bookmarkEnd w:id="1489"/>
      <w:bookmarkEnd w:id="1490"/>
      <w:bookmarkEnd w:id="1491"/>
    </w:p>
    <w:p>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pPr>
        <w:jc w:val="both"/>
        <w:rPr>
          <w:rFonts w:cs="Arial"/>
          <w:lang w:val="en-IN" w:eastAsia="ja-JP"/>
        </w:rPr>
      </w:pPr>
      <w:r>
        <w:rPr>
          <w:rFonts w:cs="Arial"/>
          <w:lang w:val="en-IN" w:eastAsia="ja-JP"/>
        </w:rPr>
        <w:t xml:space="preserve">The linked excel sheet provides detailed plots for the Scenarios 2,3,10 and 11. </w:t>
      </w:r>
    </w:p>
    <w:p>
      <w:pPr>
        <w:jc w:val="both"/>
        <w:rPr>
          <w:rFonts w:cs="Arial"/>
          <w:lang w:val="en-IN" w:eastAsia="ja-JP"/>
        </w:rPr>
      </w:pPr>
      <w:r>
        <w:rPr>
          <w:rFonts w:cs="Arial"/>
          <w:lang w:val="en-IN" w:eastAsia="ja-JP"/>
        </w:rPr>
        <w:object>
          <v:shape id="_x0000_i1097" o:spt="75" type="#_x0000_t75" style="height:53pt;width:81.5pt;" o:ole="t" filled="f" o:preferrelative="t" stroked="f" coordsize="21600,21600">
            <v:path/>
            <v:fill on="f" focussize="0,0"/>
            <v:stroke on="f" joinstyle="miter"/>
            <v:imagedata r:id="rId232" o:title=""/>
            <o:lock v:ext="edit" aspectratio="t"/>
            <w10:wrap type="none"/>
            <w10:anchorlock/>
          </v:shape>
          <o:OLEObject Type="Embed" ProgID="Excel.Sheet.12" ShapeID="_x0000_i1097" DrawAspect="Icon" ObjectID="_1468075796" r:id="rId231">
            <o:LockedField>false</o:LockedField>
          </o:OLEObject>
        </w:object>
      </w:r>
    </w:p>
    <w:p>
      <w:pPr>
        <w:jc w:val="both"/>
        <w:rPr>
          <w:rFonts w:cs="Arial"/>
          <w:lang w:val="en-IN" w:eastAsia="ja-JP"/>
        </w:rPr>
      </w:pPr>
      <w:r>
        <w:rPr>
          <w:rFonts w:hint="eastAsia" w:eastAsia="宋体"/>
          <w:lang w:val="en-US" w:eastAsia="zh-CN"/>
        </w:rPr>
        <w:t>It</w:t>
      </w:r>
      <w:r>
        <w:rPr>
          <w:rFonts w:hint="default" w:eastAsia="宋体"/>
          <w:lang w:val="en-US" w:eastAsia="zh-CN"/>
        </w:rPr>
        <w:t>’</w:t>
      </w:r>
      <w:r>
        <w:rPr>
          <w:rFonts w:hint="eastAsia" w:eastAsia="宋体"/>
          <w:lang w:val="en-US" w:eastAsia="zh-CN"/>
        </w:rPr>
        <w:t xml:space="preserve">s noted that </w:t>
      </w:r>
      <w:r>
        <w:rPr>
          <w:rFonts w:hint="eastAsia" w:eastAsia="宋体" w:cs="Arial"/>
          <w:lang w:val="en-US" w:eastAsia="zh-CN"/>
        </w:rPr>
        <w:t>t</w:t>
      </w:r>
      <w:r>
        <w:rPr>
          <w:rFonts w:cs="Arial"/>
          <w:lang w:val="en-IN" w:eastAsia="ja-JP"/>
        </w:rPr>
        <w:t xml:space="preserve">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pPr>
        <w:pStyle w:val="4"/>
        <w:jc w:val="both"/>
        <w:rPr>
          <w:lang w:eastAsia="ja-JP"/>
        </w:rPr>
      </w:pPr>
      <w:bookmarkStart w:id="1492" w:name="_Toc26828"/>
      <w:bookmarkStart w:id="1493" w:name="_Toc28684"/>
      <w:bookmarkStart w:id="1494" w:name="_Toc14098"/>
      <w:bookmarkStart w:id="1495" w:name="_Toc11397"/>
      <w:bookmarkStart w:id="1496" w:name="_Toc22815"/>
      <w:bookmarkStart w:id="1497" w:name="_Toc15227"/>
      <w:bookmarkStart w:id="1498" w:name="_Toc20412"/>
      <w:bookmarkStart w:id="1499" w:name="_Toc21507"/>
      <w:bookmarkStart w:id="1500" w:name="_Toc5280"/>
      <w:r>
        <w:rPr>
          <w:lang w:val="en-IN" w:eastAsia="ja-JP"/>
        </w:rPr>
        <w:t xml:space="preserve">D.1.4  </w:t>
      </w:r>
      <w:r>
        <w:rPr>
          <w:lang w:eastAsia="ja-JP"/>
        </w:rPr>
        <w:t>Impact of ATG UE height distribution</w:t>
      </w:r>
      <w:bookmarkEnd w:id="1492"/>
      <w:bookmarkEnd w:id="1493"/>
      <w:bookmarkEnd w:id="1494"/>
      <w:bookmarkEnd w:id="1495"/>
      <w:bookmarkEnd w:id="1496"/>
      <w:bookmarkEnd w:id="1497"/>
      <w:bookmarkEnd w:id="1498"/>
      <w:bookmarkEnd w:id="1499"/>
      <w:bookmarkEnd w:id="1500"/>
    </w:p>
    <w:p>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pPr>
        <w:jc w:val="both"/>
        <w:rPr>
          <w:rFonts w:cs="Arial"/>
          <w:lang w:val="en-IN" w:eastAsia="ja-JP"/>
        </w:rPr>
      </w:pPr>
      <w:r>
        <w:rPr>
          <w:rFonts w:cs="Arial"/>
          <w:lang w:val="en-IN" w:eastAsia="ja-JP"/>
        </w:rPr>
        <w:t xml:space="preserve">The linked excel sheet provides detailed plots for the Scenarios 1-4 and 9-12. </w:t>
      </w:r>
    </w:p>
    <w:p>
      <w:pPr>
        <w:jc w:val="both"/>
        <w:rPr>
          <w:rFonts w:cs="Arial"/>
          <w:lang w:val="en-IN" w:eastAsia="ja-JP"/>
        </w:rPr>
      </w:pPr>
      <w:r>
        <w:rPr>
          <w:rFonts w:cs="Arial"/>
          <w:lang w:val="en-IN" w:eastAsia="ja-JP"/>
        </w:rPr>
        <w:object>
          <v:shape id="_x0000_i1098" o:spt="75" type="#_x0000_t75" style="height:53pt;width:81.5pt;" o:ole="t" filled="f" o:preferrelative="t" stroked="f" coordsize="21600,21600">
            <v:path/>
            <v:fill on="f" focussize="0,0"/>
            <v:stroke on="f" joinstyle="miter"/>
            <v:imagedata r:id="rId234" o:title=""/>
            <o:lock v:ext="edit" aspectratio="t"/>
            <w10:wrap type="none"/>
            <w10:anchorlock/>
          </v:shape>
          <o:OLEObject Type="Embed" ProgID="Excel.Sheet.12" ShapeID="_x0000_i1098" DrawAspect="Icon" ObjectID="_1468075797" r:id="rId233">
            <o:LockedField>false</o:LockedField>
          </o:OLEObject>
        </w:object>
      </w:r>
    </w:p>
    <w:p>
      <w:pPr>
        <w:jc w:val="both"/>
        <w:rPr>
          <w:rFonts w:cs="Arial"/>
          <w:lang w:val="en-IN" w:eastAsia="ja-JP"/>
        </w:rPr>
      </w:pPr>
      <w:r>
        <w:rPr>
          <w:rFonts w:hint="eastAsia" w:eastAsia="宋体"/>
          <w:lang w:val="en-US" w:eastAsia="zh-CN"/>
        </w:rPr>
        <w:t>It</w:t>
      </w:r>
      <w:r>
        <w:rPr>
          <w:rFonts w:hint="default" w:eastAsia="宋体"/>
          <w:lang w:val="en-US" w:eastAsia="zh-CN"/>
        </w:rPr>
        <w:t>’</w:t>
      </w:r>
      <w:r>
        <w:rPr>
          <w:rFonts w:hint="eastAsia" w:eastAsia="宋体"/>
          <w:lang w:val="en-US" w:eastAsia="zh-CN"/>
        </w:rPr>
        <w:t xml:space="preserve">s noted that </w:t>
      </w:r>
      <w:r>
        <w:rPr>
          <w:rFonts w:hint="eastAsia" w:eastAsia="宋体" w:cs="Arial"/>
          <w:lang w:val="en-US" w:eastAsia="zh-CN"/>
        </w:rPr>
        <w:t>t</w:t>
      </w:r>
      <w:r>
        <w:rPr>
          <w:rFonts w:cs="Arial"/>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pPr>
        <w:jc w:val="both"/>
        <w:rPr>
          <w:rFonts w:cs="Arial"/>
          <w:lang w:val="en-IN" w:eastAsia="ja-JP"/>
        </w:rPr>
      </w:pPr>
      <w:r>
        <w:rPr>
          <w:rFonts w:cs="Arial"/>
        </w:rPr>
        <w:drawing>
          <wp:inline distT="0" distB="0" distL="0" distR="0">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pPr>
        <w:pStyle w:val="28"/>
        <w:jc w:val="center"/>
        <w:rPr>
          <w:rFonts w:ascii="Arial" w:hAnsi="Arial" w:cs="Arial"/>
          <w:lang w:val="en-IN" w:eastAsia="ja-JP"/>
        </w:rPr>
      </w:pPr>
      <w:r>
        <w:rPr>
          <w:rFonts w:ascii="Arial" w:hAnsi="Arial" w:cs="Arial"/>
        </w:rPr>
        <w:t>Figure D.1.4-1: Simulation results for Throughput Loss - 5% of users in the whole network</w:t>
      </w:r>
    </w:p>
    <w:p>
      <w:pPr>
        <w:jc w:val="both"/>
        <w:rPr>
          <w:rFonts w:ascii="Arial" w:hAnsi="Arial" w:cs="Arial"/>
          <w:lang w:val="en-IN" w:eastAsia="ja-JP"/>
        </w:rPr>
      </w:pPr>
      <w:r>
        <w:rPr>
          <w:rFonts w:ascii="Arial" w:hAnsi="Arial" w:cs="Arial"/>
        </w:rPr>
        <w:drawing>
          <wp:inline distT="0" distB="0" distL="0" distR="0">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p>
      <w:pPr>
        <w:pStyle w:val="28"/>
        <w:jc w:val="center"/>
        <w:rPr>
          <w:rFonts w:ascii="Arial" w:hAnsi="Arial" w:cs="Arial"/>
          <w:lang w:val="en-IN" w:eastAsia="ja-JP"/>
        </w:rPr>
      </w:pPr>
      <w:r>
        <w:rPr>
          <w:rFonts w:ascii="Arial" w:hAnsi="Arial" w:cs="Arial"/>
        </w:rPr>
        <w:t>Figure D.1.4-2: Simulation results for Throughput Loss - 5% of users in the whole network</w:t>
      </w:r>
    </w:p>
    <w:p>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pPr>
        <w:spacing w:after="0"/>
        <w:rPr>
          <w:rFonts w:eastAsia="宋体"/>
          <w:i/>
          <w:lang w:eastAsia="zh-CN"/>
        </w:rPr>
      </w:pPr>
      <w:r>
        <w:rPr>
          <w:rFonts w:eastAsia="宋体"/>
        </w:rPr>
        <w:br w:type="page"/>
      </w:r>
    </w:p>
    <w:p>
      <w:pPr>
        <w:pStyle w:val="2"/>
        <w:rPr>
          <w:rFonts w:hint="eastAsia" w:eastAsia="Times New Roman"/>
          <w:lang w:eastAsia="zh-CN"/>
        </w:rPr>
      </w:pPr>
      <w:bookmarkStart w:id="1501" w:name="historyclause"/>
      <w:bookmarkStart w:id="1502" w:name="_Toc18103"/>
      <w:bookmarkStart w:id="1503" w:name="_Toc24430"/>
      <w:bookmarkStart w:id="1504" w:name="_Toc29642"/>
      <w:bookmarkStart w:id="1505" w:name="_Toc117668905"/>
      <w:bookmarkStart w:id="1506" w:name="_Toc25971"/>
      <w:bookmarkStart w:id="1507" w:name="_Toc30901"/>
      <w:bookmarkStart w:id="1508" w:name="_Toc13950"/>
      <w:bookmarkStart w:id="1509" w:name="_Toc8579"/>
      <w:bookmarkStart w:id="1510" w:name="_Toc29551"/>
      <w:bookmarkStart w:id="1511" w:name="_Toc16674"/>
      <w:r>
        <w:rPr>
          <w:rFonts w:hint="eastAsia" w:eastAsia="Times New Roman"/>
          <w:lang w:eastAsia="zh-CN"/>
        </w:rPr>
        <w:t xml:space="preserve">Annex </w:t>
      </w:r>
      <w:r>
        <w:rPr>
          <w:rFonts w:hint="eastAsia" w:eastAsia="Times New Roman"/>
          <w:lang w:val="en-US" w:eastAsia="zh-CN"/>
        </w:rPr>
        <w:t>E</w:t>
      </w:r>
      <w:r>
        <w:rPr>
          <w:rFonts w:hint="eastAsia" w:eastAsia="Times New Roman"/>
          <w:lang w:eastAsia="zh-CN"/>
        </w:rPr>
        <w:t>: Change history</w:t>
      </w:r>
      <w:bookmarkEnd w:id="1501"/>
      <w:bookmarkEnd w:id="1502"/>
      <w:bookmarkEnd w:id="1503"/>
      <w:bookmarkEnd w:id="1504"/>
      <w:bookmarkEnd w:id="1505"/>
      <w:bookmarkEnd w:id="1506"/>
      <w:bookmarkEnd w:id="1507"/>
      <w:bookmarkEnd w:id="1508"/>
      <w:bookmarkEnd w:id="1509"/>
      <w:bookmarkEnd w:id="1510"/>
      <w:bookmarkEnd w:id="1511"/>
    </w:p>
    <w:tbl>
      <w:tblPr>
        <w:tblStyle w:val="49"/>
        <w:tblW w:w="9923"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85"/>
        <w:gridCol w:w="1134"/>
        <w:gridCol w:w="375"/>
        <w:gridCol w:w="428"/>
        <w:gridCol w:w="4583"/>
        <w:gridCol w:w="709"/>
        <w:gridCol w:w="70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23" w:type="dxa"/>
            <w:gridSpan w:val="8"/>
            <w:tcBorders>
              <w:bottom w:val="nil"/>
            </w:tcBorders>
            <w:shd w:val="solid" w:color="FFFFFF" w:fill="auto"/>
          </w:tcPr>
          <w:p>
            <w:pPr>
              <w:keepNext/>
              <w:keepLines/>
              <w:spacing w:after="0"/>
              <w:jc w:val="center"/>
              <w:rPr>
                <w:rFonts w:ascii="Arial" w:hAnsi="Arial" w:eastAsia="宋体"/>
                <w:b/>
                <w:sz w:val="16"/>
              </w:rPr>
            </w:pPr>
            <w:r>
              <w:rPr>
                <w:rFonts w:ascii="Arial" w:hAnsi="Arial" w:eastAsia="宋体"/>
                <w:b/>
                <w:sz w:val="18"/>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keepNext/>
              <w:keepLines/>
              <w:spacing w:after="0"/>
              <w:rPr>
                <w:rFonts w:ascii="Arial" w:hAnsi="Arial" w:eastAsia="宋体"/>
                <w:b/>
                <w:sz w:val="16"/>
              </w:rPr>
            </w:pPr>
            <w:r>
              <w:rPr>
                <w:rFonts w:ascii="Arial" w:hAnsi="Arial" w:eastAsia="宋体"/>
                <w:b/>
                <w:sz w:val="16"/>
              </w:rPr>
              <w:t>Date</w:t>
            </w:r>
          </w:p>
        </w:tc>
        <w:tc>
          <w:tcPr>
            <w:tcW w:w="1185" w:type="dxa"/>
            <w:shd w:val="pct10" w:color="auto" w:fill="FFFFFF"/>
          </w:tcPr>
          <w:p>
            <w:pPr>
              <w:keepNext/>
              <w:keepLines/>
              <w:spacing w:after="0"/>
              <w:rPr>
                <w:rFonts w:ascii="Arial" w:hAnsi="Arial" w:eastAsia="宋体"/>
                <w:b/>
                <w:sz w:val="16"/>
              </w:rPr>
            </w:pPr>
            <w:r>
              <w:rPr>
                <w:rFonts w:ascii="Arial" w:hAnsi="Arial" w:eastAsia="宋体"/>
                <w:b/>
                <w:sz w:val="16"/>
              </w:rPr>
              <w:t>TSG #</w:t>
            </w:r>
          </w:p>
        </w:tc>
        <w:tc>
          <w:tcPr>
            <w:tcW w:w="1134" w:type="dxa"/>
            <w:shd w:val="pct10" w:color="auto" w:fill="FFFFFF"/>
          </w:tcPr>
          <w:p>
            <w:pPr>
              <w:keepNext/>
              <w:keepLines/>
              <w:spacing w:after="0"/>
              <w:rPr>
                <w:rFonts w:ascii="Arial" w:hAnsi="Arial" w:eastAsia="宋体"/>
                <w:b/>
                <w:sz w:val="16"/>
              </w:rPr>
            </w:pPr>
            <w:r>
              <w:rPr>
                <w:rFonts w:ascii="Arial" w:hAnsi="Arial" w:eastAsia="宋体"/>
                <w:b/>
                <w:sz w:val="16"/>
              </w:rPr>
              <w:t>TSG Doc.</w:t>
            </w:r>
          </w:p>
        </w:tc>
        <w:tc>
          <w:tcPr>
            <w:tcW w:w="375" w:type="dxa"/>
            <w:shd w:val="pct10" w:color="auto" w:fill="FFFFFF"/>
          </w:tcPr>
          <w:p>
            <w:pPr>
              <w:keepNext/>
              <w:keepLines/>
              <w:spacing w:after="0"/>
              <w:rPr>
                <w:rFonts w:ascii="Arial" w:hAnsi="Arial" w:eastAsia="宋体"/>
                <w:b/>
                <w:sz w:val="16"/>
              </w:rPr>
            </w:pPr>
            <w:r>
              <w:rPr>
                <w:rFonts w:ascii="Arial" w:hAnsi="Arial" w:eastAsia="宋体"/>
                <w:b/>
                <w:sz w:val="16"/>
              </w:rPr>
              <w:t>CR</w:t>
            </w:r>
          </w:p>
        </w:tc>
        <w:tc>
          <w:tcPr>
            <w:tcW w:w="428" w:type="dxa"/>
            <w:shd w:val="pct10" w:color="auto" w:fill="FFFFFF"/>
          </w:tcPr>
          <w:p>
            <w:pPr>
              <w:keepNext/>
              <w:keepLines/>
              <w:spacing w:after="0"/>
              <w:rPr>
                <w:rFonts w:ascii="Arial" w:hAnsi="Arial" w:eastAsia="宋体"/>
                <w:b/>
                <w:sz w:val="16"/>
              </w:rPr>
            </w:pPr>
            <w:r>
              <w:rPr>
                <w:rFonts w:ascii="Arial" w:hAnsi="Arial" w:eastAsia="宋体"/>
                <w:b/>
                <w:sz w:val="16"/>
              </w:rPr>
              <w:t>Rev</w:t>
            </w:r>
          </w:p>
        </w:tc>
        <w:tc>
          <w:tcPr>
            <w:tcW w:w="4583" w:type="dxa"/>
            <w:shd w:val="pct10" w:color="auto" w:fill="FFFFFF"/>
          </w:tcPr>
          <w:p>
            <w:pPr>
              <w:keepNext/>
              <w:keepLines/>
              <w:spacing w:after="0"/>
              <w:rPr>
                <w:rFonts w:ascii="Arial" w:hAnsi="Arial" w:eastAsia="宋体"/>
                <w:b/>
                <w:sz w:val="16"/>
              </w:rPr>
            </w:pPr>
            <w:r>
              <w:rPr>
                <w:rFonts w:ascii="Arial" w:hAnsi="Arial" w:eastAsia="宋体"/>
                <w:b/>
                <w:sz w:val="16"/>
              </w:rPr>
              <w:t>Subject/Comment</w:t>
            </w:r>
          </w:p>
        </w:tc>
        <w:tc>
          <w:tcPr>
            <w:tcW w:w="709" w:type="dxa"/>
            <w:shd w:val="pct10" w:color="auto" w:fill="FFFFFF"/>
          </w:tcPr>
          <w:p>
            <w:pPr>
              <w:keepNext/>
              <w:keepLines/>
              <w:spacing w:after="0"/>
              <w:rPr>
                <w:rFonts w:ascii="Arial" w:hAnsi="Arial" w:eastAsia="宋体"/>
                <w:b/>
                <w:sz w:val="16"/>
              </w:rPr>
            </w:pPr>
            <w:r>
              <w:rPr>
                <w:rFonts w:ascii="Arial" w:hAnsi="Arial" w:eastAsia="宋体"/>
                <w:b/>
                <w:sz w:val="16"/>
              </w:rPr>
              <w:t>Old</w:t>
            </w:r>
          </w:p>
        </w:tc>
        <w:tc>
          <w:tcPr>
            <w:tcW w:w="709" w:type="dxa"/>
            <w:shd w:val="pct10" w:color="auto" w:fill="FFFFFF"/>
          </w:tcPr>
          <w:p>
            <w:pPr>
              <w:keepNext/>
              <w:keepLines/>
              <w:spacing w:after="0"/>
              <w:rPr>
                <w:rFonts w:ascii="Arial" w:hAnsi="Arial" w:eastAsia="宋体"/>
                <w:b/>
                <w:sz w:val="16"/>
              </w:rPr>
            </w:pPr>
            <w:r>
              <w:rPr>
                <w:rFonts w:ascii="Arial" w:hAnsi="Arial" w:eastAsia="宋体"/>
                <w:b/>
                <w:sz w:val="16"/>
              </w:rPr>
              <w:t>New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napToGrid w:val="0"/>
                <w:sz w:val="18"/>
                <w:szCs w:val="18"/>
                <w:lang w:val="en-AU" w:eastAsia="zh-CN"/>
              </w:rPr>
            </w:pPr>
            <w:r>
              <w:rPr>
                <w:rFonts w:ascii="Arial" w:hAnsi="Arial" w:eastAsia="宋体"/>
                <w:sz w:val="18"/>
                <w:szCs w:val="18"/>
              </w:rPr>
              <w:t>0</w:t>
            </w:r>
            <w:r>
              <w:rPr>
                <w:rFonts w:hint="eastAsia" w:ascii="Arial" w:hAnsi="Arial" w:eastAsia="宋体"/>
                <w:sz w:val="18"/>
                <w:szCs w:val="18"/>
                <w:lang w:eastAsia="zh-CN"/>
              </w:rPr>
              <w:t>8</w:t>
            </w:r>
            <w:r>
              <w:rPr>
                <w:rFonts w:ascii="Arial" w:hAnsi="Arial" w:eastAsia="宋体"/>
                <w:sz w:val="18"/>
                <w:szCs w:val="18"/>
              </w:rPr>
              <w:t>/20</w:t>
            </w:r>
            <w:r>
              <w:rPr>
                <w:rFonts w:hint="eastAsia" w:ascii="Arial" w:hAnsi="Arial" w:eastAsia="宋体"/>
                <w:sz w:val="18"/>
                <w:szCs w:val="18"/>
                <w:lang w:eastAsia="zh-CN"/>
              </w:rPr>
              <w:t>22</w:t>
            </w:r>
          </w:p>
        </w:tc>
        <w:tc>
          <w:tcPr>
            <w:tcW w:w="1185"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RAN4#</w:t>
            </w:r>
            <w:r>
              <w:rPr>
                <w:rFonts w:hint="eastAsia" w:ascii="Arial" w:hAnsi="Arial" w:eastAsia="宋体"/>
                <w:snapToGrid w:val="0"/>
                <w:sz w:val="18"/>
                <w:lang w:val="en-AU" w:eastAsia="zh-CN"/>
              </w:rPr>
              <w:t>104-e</w:t>
            </w:r>
          </w:p>
        </w:tc>
        <w:tc>
          <w:tcPr>
            <w:tcW w:w="1134" w:type="dxa"/>
            <w:shd w:val="solid" w:color="FFFFFF" w:fill="auto"/>
          </w:tcPr>
          <w:p>
            <w:pPr>
              <w:keepNext/>
              <w:keepLines/>
              <w:spacing w:after="0"/>
              <w:rPr>
                <w:rFonts w:ascii="Arial" w:hAnsi="Arial" w:eastAsia="宋体"/>
                <w:b/>
                <w:snapToGrid w:val="0"/>
                <w:sz w:val="18"/>
                <w:lang w:val="en-AU" w:eastAsia="zh-CN"/>
              </w:rPr>
            </w:pPr>
            <w:r>
              <w:rPr>
                <w:rFonts w:ascii="Arial" w:hAnsi="Arial" w:eastAsia="宋体"/>
                <w:snapToGrid w:val="0"/>
                <w:sz w:val="18"/>
                <w:lang w:val="en-AU" w:eastAsia="zh-CN"/>
              </w:rPr>
              <w:t>R4-2214912</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 xml:space="preserve">TR skeleton </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N/A</w:t>
            </w:r>
          </w:p>
        </w:tc>
        <w:tc>
          <w:tcPr>
            <w:tcW w:w="709"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11</w:t>
            </w:r>
            <w:r>
              <w:rPr>
                <w:rFonts w:ascii="Arial" w:hAnsi="Arial" w:eastAsia="宋体"/>
                <w:sz w:val="18"/>
                <w:szCs w:val="18"/>
              </w:rPr>
              <w:t>/20</w:t>
            </w:r>
            <w:r>
              <w:rPr>
                <w:rFonts w:hint="eastAsia" w:ascii="Arial" w:hAnsi="Arial" w:eastAsia="宋体"/>
                <w:sz w:val="18"/>
                <w:szCs w:val="18"/>
                <w:lang w:eastAsia="zh-CN"/>
              </w:rPr>
              <w:t>22</w:t>
            </w:r>
          </w:p>
        </w:tc>
        <w:tc>
          <w:tcPr>
            <w:tcW w:w="1185"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eastAsia="zh-CN"/>
              </w:rPr>
              <w:t>RAN4#</w:t>
            </w:r>
            <w:r>
              <w:rPr>
                <w:rFonts w:hint="eastAsia" w:ascii="Arial" w:hAnsi="Arial" w:eastAsia="宋体"/>
                <w:snapToGrid w:val="0"/>
                <w:sz w:val="18"/>
                <w:lang w:val="en-AU" w:eastAsia="zh-CN"/>
              </w:rPr>
              <w:t>105</w:t>
            </w:r>
          </w:p>
        </w:tc>
        <w:tc>
          <w:tcPr>
            <w:tcW w:w="1134" w:type="dxa"/>
            <w:shd w:val="solid" w:color="FFFFFF" w:fill="auto"/>
          </w:tcPr>
          <w:p>
            <w:pPr>
              <w:keepNext/>
              <w:keepLines/>
              <w:spacing w:after="0"/>
              <w:rPr>
                <w:rFonts w:ascii="Arial" w:hAnsi="Arial" w:eastAsia="宋体"/>
                <w:sz w:val="18"/>
                <w:lang w:val="en-US" w:eastAsia="zh-CN"/>
              </w:rPr>
            </w:pPr>
            <w:r>
              <w:rPr>
                <w:rFonts w:ascii="Arial" w:hAnsi="Arial" w:eastAsia="宋体"/>
                <w:sz w:val="18"/>
                <w:lang w:val="en-US"/>
              </w:rPr>
              <w:t>R4-2218030</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rPr>
              <w:t>R4-2215335 TP for ATG TR 38.876 skeleton</w:t>
            </w:r>
          </w:p>
          <w:p>
            <w:pPr>
              <w:keepNext/>
              <w:keepLines/>
              <w:spacing w:after="0"/>
              <w:rPr>
                <w:rFonts w:ascii="Arial" w:hAnsi="Arial" w:eastAsia="宋体"/>
                <w:snapToGrid w:val="0"/>
                <w:sz w:val="18"/>
                <w:lang w:val="en-AU" w:eastAsia="zh-CN"/>
              </w:rPr>
            </w:pPr>
            <w:r>
              <w:rPr>
                <w:rFonts w:ascii="Arial" w:hAnsi="Arial" w:eastAsia="宋体"/>
                <w:snapToGrid w:val="0"/>
                <w:sz w:val="18"/>
                <w:lang w:val="en-AU"/>
              </w:rPr>
              <w:t>R4-2217504</w:t>
            </w:r>
            <w:r>
              <w:rPr>
                <w:rFonts w:hint="eastAsia" w:ascii="Arial" w:hAnsi="Arial" w:eastAsia="宋体"/>
                <w:snapToGrid w:val="0"/>
                <w:sz w:val="18"/>
                <w:lang w:val="en-AU"/>
              </w:rPr>
              <w:t xml:space="preserve"> </w:t>
            </w:r>
            <w:r>
              <w:rPr>
                <w:rFonts w:ascii="Arial" w:hAnsi="Arial" w:eastAsia="宋体"/>
                <w:snapToGrid w:val="0"/>
                <w:sz w:val="18"/>
                <w:lang w:val="en-AU"/>
              </w:rPr>
              <w:t>TP for TR 38.876</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0.0.1</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2/2023</w:t>
            </w:r>
          </w:p>
        </w:tc>
        <w:tc>
          <w:tcPr>
            <w:tcW w:w="1185"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RAN4#106</w:t>
            </w:r>
          </w:p>
        </w:tc>
        <w:tc>
          <w:tcPr>
            <w:tcW w:w="1134" w:type="dxa"/>
            <w:shd w:val="solid" w:color="FFFFFF"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R</w:t>
            </w:r>
            <w:r>
              <w:rPr>
                <w:rFonts w:ascii="Arial" w:hAnsi="Arial" w:eastAsia="宋体"/>
                <w:sz w:val="18"/>
                <w:lang w:val="en-US" w:eastAsia="zh-CN"/>
              </w:rPr>
              <w:t>4-2301861</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R4-2220826 TP for TR 38.876: frequency error</w:t>
            </w:r>
          </w:p>
          <w:p>
            <w:pPr>
              <w:keepNext/>
              <w:keepLines/>
              <w:spacing w:after="0"/>
              <w:rPr>
                <w:rFonts w:ascii="Arial" w:hAnsi="Arial" w:eastAsia="宋体"/>
                <w:snapToGrid w:val="0"/>
                <w:sz w:val="18"/>
                <w:lang w:val="en-AU"/>
              </w:rPr>
            </w:pPr>
            <w:r>
              <w:rPr>
                <w:rFonts w:ascii="Arial" w:hAnsi="Arial" w:eastAsia="宋体"/>
                <w:snapToGrid w:val="0"/>
                <w:sz w:val="18"/>
                <w:lang w:val="en-AU"/>
              </w:rPr>
              <w:t>R4-2220539 TP for TR 38.876 to capture general assumptions</w:t>
            </w:r>
          </w:p>
          <w:p>
            <w:pPr>
              <w:keepNext/>
              <w:keepLines/>
              <w:spacing w:after="0"/>
              <w:rPr>
                <w:rFonts w:ascii="Arial" w:hAnsi="Arial" w:eastAsia="宋体"/>
                <w:snapToGrid w:val="0"/>
                <w:sz w:val="18"/>
                <w:lang w:val="en-AU"/>
              </w:rPr>
            </w:pPr>
            <w:r>
              <w:rPr>
                <w:rFonts w:ascii="Arial" w:hAnsi="Arial" w:eastAsia="宋体"/>
                <w:snapToGrid w:val="0"/>
                <w:sz w:val="18"/>
                <w:lang w:val="en-AU"/>
              </w:rPr>
              <w:t>R4-2220540 TP for TR 38.876 to capture scenarios and network layout</w:t>
            </w:r>
          </w:p>
          <w:p>
            <w:pPr>
              <w:keepNext/>
              <w:keepLines/>
              <w:spacing w:after="0"/>
              <w:rPr>
                <w:rFonts w:ascii="Arial" w:hAnsi="Arial" w:eastAsia="宋体"/>
                <w:snapToGrid w:val="0"/>
                <w:sz w:val="18"/>
                <w:lang w:val="en-AU"/>
              </w:rPr>
            </w:pPr>
            <w:r>
              <w:rPr>
                <w:rFonts w:ascii="Arial" w:hAnsi="Arial" w:eastAsia="宋体"/>
                <w:snapToGrid w:val="0"/>
                <w:sz w:val="18"/>
                <w:lang w:val="en-AU"/>
              </w:rPr>
              <w:t>R4-2220541 TP for TR 38.876 to capture system parameter assumption and antenna modelling</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.1.0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4/2023</w:t>
            </w:r>
          </w:p>
        </w:tc>
        <w:tc>
          <w:tcPr>
            <w:tcW w:w="1185"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R</w:t>
            </w:r>
            <w:r>
              <w:rPr>
                <w:rFonts w:ascii="Arial" w:hAnsi="Arial" w:eastAsia="宋体"/>
                <w:snapToGrid w:val="0"/>
                <w:sz w:val="18"/>
                <w:lang w:val="en-AU" w:eastAsia="zh-CN"/>
              </w:rPr>
              <w:t>AN4#106bis</w:t>
            </w:r>
          </w:p>
        </w:tc>
        <w:tc>
          <w:tcPr>
            <w:tcW w:w="1134" w:type="dxa"/>
            <w:shd w:val="solid" w:color="FFFFFF" w:fill="auto"/>
          </w:tcPr>
          <w:p>
            <w:pPr>
              <w:keepNext/>
              <w:keepLines/>
              <w:spacing w:after="0"/>
              <w:rPr>
                <w:rFonts w:ascii="Arial" w:hAnsi="Arial" w:eastAsia="宋体"/>
                <w:sz w:val="18"/>
                <w:lang w:val="en-US"/>
              </w:rPr>
            </w:pPr>
            <w:r>
              <w:rPr>
                <w:rFonts w:hint="eastAsia" w:ascii="Arial" w:hAnsi="Arial" w:eastAsia="宋体"/>
                <w:sz w:val="18"/>
                <w:lang w:val="en-US" w:eastAsia="zh-CN"/>
              </w:rPr>
              <w:t>R</w:t>
            </w:r>
            <w:r>
              <w:rPr>
                <w:rFonts w:ascii="Arial" w:hAnsi="Arial" w:eastAsia="宋体"/>
                <w:sz w:val="18"/>
                <w:lang w:val="en-US" w:eastAsia="zh-CN"/>
              </w:rPr>
              <w:t>4-2303640</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R4-2302096 TP for TR 38.876 to add some coexistence assumption and methodology</w:t>
            </w:r>
          </w:p>
          <w:p>
            <w:pPr>
              <w:keepNext/>
              <w:keepLines/>
              <w:spacing w:after="0"/>
              <w:rPr>
                <w:rFonts w:ascii="Arial" w:hAnsi="Arial" w:eastAsia="宋体"/>
                <w:snapToGrid w:val="0"/>
                <w:sz w:val="18"/>
                <w:lang w:val="en-AU"/>
              </w:rPr>
            </w:pPr>
            <w:r>
              <w:rPr>
                <w:rFonts w:ascii="Arial" w:hAnsi="Arial" w:eastAsia="宋体"/>
                <w:snapToGrid w:val="0"/>
                <w:sz w:val="18"/>
                <w:lang w:val="en-AU"/>
              </w:rPr>
              <w:t>R4-2303641 TP for TR 38.876 to capture system parameter assumption</w:t>
            </w:r>
          </w:p>
          <w:p>
            <w:pPr>
              <w:keepNext/>
              <w:keepLines/>
              <w:spacing w:after="0"/>
              <w:rPr>
                <w:rFonts w:ascii="Arial" w:hAnsi="Arial" w:eastAsia="宋体"/>
                <w:snapToGrid w:val="0"/>
                <w:sz w:val="18"/>
                <w:lang w:val="en-AU"/>
              </w:rPr>
            </w:pPr>
            <w:r>
              <w:rPr>
                <w:rFonts w:ascii="Arial" w:hAnsi="Arial" w:eastAsia="宋体"/>
                <w:snapToGrid w:val="0"/>
                <w:sz w:val="18"/>
                <w:lang w:val="en-AU"/>
              </w:rPr>
              <w:t>R4-2303642 TP to TR 38.876: Update of simulation assumptions</w:t>
            </w:r>
          </w:p>
          <w:p>
            <w:pPr>
              <w:keepNext/>
              <w:keepLines/>
              <w:spacing w:after="0"/>
              <w:rPr>
                <w:rFonts w:ascii="Arial" w:hAnsi="Arial" w:eastAsia="宋体"/>
                <w:snapToGrid w:val="0"/>
                <w:sz w:val="18"/>
                <w:lang w:val="en-AU"/>
              </w:rPr>
            </w:pPr>
            <w:r>
              <w:rPr>
                <w:rFonts w:ascii="Arial" w:hAnsi="Arial" w:eastAsia="宋体"/>
                <w:snapToGrid w:val="0"/>
                <w:sz w:val="18"/>
                <w:lang w:val="en-AU"/>
              </w:rPr>
              <w:t>R4-2303643 TP for TR 38.876 to introduce ATG UE Tx requirements</w:t>
            </w:r>
          </w:p>
          <w:p>
            <w:pPr>
              <w:keepNext/>
              <w:keepLines/>
              <w:spacing w:after="0"/>
              <w:rPr>
                <w:rFonts w:ascii="Arial" w:hAnsi="Arial" w:eastAsia="宋体"/>
                <w:snapToGrid w:val="0"/>
                <w:sz w:val="18"/>
                <w:lang w:val="en-AU"/>
              </w:rPr>
            </w:pPr>
            <w:r>
              <w:rPr>
                <w:rFonts w:ascii="Arial" w:hAnsi="Arial" w:eastAsia="宋体"/>
                <w:snapToGrid w:val="0"/>
                <w:sz w:val="18"/>
                <w:lang w:val="en-AU"/>
              </w:rPr>
              <w:t>R4-2303644 TP for TR 38.876 to introduce technical analysis for ATG UE Rx requirements.</w:t>
            </w:r>
          </w:p>
          <w:p>
            <w:pPr>
              <w:keepNext/>
              <w:keepLines/>
              <w:spacing w:after="0"/>
              <w:rPr>
                <w:rFonts w:ascii="Arial" w:hAnsi="Arial" w:eastAsia="宋体"/>
                <w:snapToGrid w:val="0"/>
                <w:sz w:val="18"/>
                <w:lang w:val="en-AU"/>
              </w:rPr>
            </w:pPr>
            <w:r>
              <w:rPr>
                <w:rFonts w:ascii="Arial" w:hAnsi="Arial" w:eastAsia="宋体"/>
                <w:snapToGrid w:val="0"/>
                <w:sz w:val="18"/>
                <w:lang w:val="en-AU"/>
              </w:rPr>
              <w:t>R4-2303227 TP to TR 38.876: RRM requirements for ATG network</w:t>
            </w:r>
          </w:p>
          <w:p>
            <w:pPr>
              <w:keepNext/>
              <w:keepLines/>
              <w:spacing w:after="0"/>
              <w:rPr>
                <w:rFonts w:ascii="Arial" w:hAnsi="Arial" w:eastAsia="宋体"/>
                <w:snapToGrid w:val="0"/>
                <w:sz w:val="18"/>
                <w:lang w:val="en-AU"/>
              </w:rPr>
            </w:pPr>
            <w:r>
              <w:rPr>
                <w:rFonts w:ascii="Arial" w:hAnsi="Arial" w:eastAsia="宋体"/>
                <w:snapToGrid w:val="0"/>
                <w:sz w:val="18"/>
                <w:lang w:val="en-AU"/>
              </w:rPr>
              <w:t>R4-2302905 TP for TR 38.876 on BS RF requirements</w:t>
            </w:r>
          </w:p>
        </w:tc>
        <w:tc>
          <w:tcPr>
            <w:tcW w:w="709" w:type="dxa"/>
            <w:shd w:val="solid" w:color="FFFFFF" w:fill="auto"/>
          </w:tcPr>
          <w:p>
            <w:pPr>
              <w:keepNext/>
              <w:keepLines/>
              <w:spacing w:after="0"/>
              <w:rPr>
                <w:rFonts w:ascii="Arial" w:hAnsi="Arial" w:eastAsia="宋体"/>
                <w:snapToGrid w:val="0"/>
                <w:sz w:val="18"/>
                <w:lang w:val="en-AU" w:eastAsia="zh-CN"/>
              </w:rPr>
            </w:pPr>
            <w:r>
              <w:rPr>
                <w:rFonts w:ascii="Arial" w:hAnsi="Arial" w:eastAsia="宋体"/>
                <w:snapToGrid w:val="0"/>
                <w:sz w:val="18"/>
                <w:lang w:val="en-AU" w:eastAsia="zh-CN"/>
              </w:rPr>
              <w:t>0.2.0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keepNext/>
              <w:keepLines/>
              <w:spacing w:after="0"/>
              <w:rPr>
                <w:rFonts w:ascii="Arial" w:hAnsi="Arial" w:eastAsia="宋体"/>
                <w:sz w:val="18"/>
                <w:szCs w:val="18"/>
                <w:lang w:eastAsia="zh-CN"/>
              </w:rPr>
            </w:pPr>
            <w:r>
              <w:rPr>
                <w:rFonts w:hint="eastAsia" w:ascii="Arial" w:hAnsi="Arial" w:eastAsia="宋体"/>
                <w:sz w:val="18"/>
                <w:szCs w:val="18"/>
                <w:lang w:eastAsia="zh-CN"/>
              </w:rPr>
              <w:t>0</w:t>
            </w:r>
            <w:r>
              <w:rPr>
                <w:rFonts w:ascii="Arial" w:hAnsi="Arial" w:eastAsia="宋体"/>
                <w:sz w:val="18"/>
                <w:szCs w:val="18"/>
                <w:lang w:eastAsia="zh-CN"/>
              </w:rPr>
              <w:t>5/2023</w:t>
            </w:r>
          </w:p>
        </w:tc>
        <w:tc>
          <w:tcPr>
            <w:tcW w:w="1185"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RAN4#107</w:t>
            </w:r>
          </w:p>
        </w:tc>
        <w:tc>
          <w:tcPr>
            <w:tcW w:w="1134" w:type="dxa"/>
            <w:shd w:val="solid" w:color="FFFFFF" w:fill="auto"/>
          </w:tcPr>
          <w:p>
            <w:pPr>
              <w:keepNext/>
              <w:keepLines/>
              <w:spacing w:after="0"/>
              <w:rPr>
                <w:rFonts w:ascii="Arial" w:hAnsi="Arial" w:eastAsia="宋体"/>
                <w:sz w:val="18"/>
                <w:lang w:val="en-US"/>
              </w:rPr>
            </w:pPr>
            <w:r>
              <w:rPr>
                <w:rFonts w:ascii="Arial" w:hAnsi="Arial" w:eastAsia="宋体"/>
                <w:sz w:val="18"/>
                <w:lang w:val="en-US"/>
              </w:rPr>
              <w:t>R4-2309106</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AU"/>
              </w:rPr>
            </w:pPr>
            <w:r>
              <w:rPr>
                <w:rFonts w:ascii="Arial" w:hAnsi="Arial" w:eastAsia="宋体"/>
                <w:snapToGrid w:val="0"/>
                <w:sz w:val="18"/>
                <w:lang w:val="en-AU"/>
              </w:rPr>
              <w:t>R4-2310402</w:t>
            </w:r>
            <w:r>
              <w:rPr>
                <w:rFonts w:ascii="Arial" w:hAnsi="Arial" w:eastAsia="宋体"/>
                <w:snapToGrid w:val="0"/>
                <w:sz w:val="18"/>
                <w:lang w:val="en-AU"/>
              </w:rPr>
              <w:tab/>
            </w:r>
            <w:r>
              <w:rPr>
                <w:rFonts w:ascii="Arial" w:hAnsi="Arial" w:eastAsia="宋体"/>
                <w:snapToGrid w:val="0"/>
                <w:sz w:val="18"/>
                <w:lang w:val="en-AU"/>
              </w:rPr>
              <w:t>TP for TR 38.876 to add Annex, CMCC</w:t>
            </w:r>
          </w:p>
          <w:p>
            <w:pPr>
              <w:keepNext/>
              <w:keepLines/>
              <w:spacing w:after="0"/>
              <w:rPr>
                <w:rFonts w:ascii="Arial" w:hAnsi="Arial" w:eastAsia="宋体"/>
                <w:snapToGrid w:val="0"/>
                <w:sz w:val="18"/>
                <w:lang w:val="en-AU"/>
              </w:rPr>
            </w:pPr>
            <w:r>
              <w:rPr>
                <w:rFonts w:ascii="Arial" w:hAnsi="Arial" w:eastAsia="宋体"/>
                <w:snapToGrid w:val="0"/>
                <w:sz w:val="18"/>
                <w:lang w:val="en-AU"/>
              </w:rPr>
              <w:t>R4-2310494</w:t>
            </w:r>
            <w:r>
              <w:rPr>
                <w:rFonts w:ascii="Arial" w:hAnsi="Arial" w:eastAsia="宋体"/>
                <w:snapToGrid w:val="0"/>
                <w:sz w:val="18"/>
                <w:lang w:val="en-AU"/>
              </w:rPr>
              <w:tab/>
            </w:r>
            <w:r>
              <w:rPr>
                <w:rFonts w:ascii="Arial" w:hAnsi="Arial" w:eastAsia="宋体"/>
                <w:snapToGrid w:val="0"/>
                <w:sz w:val="18"/>
                <w:lang w:val="en-AU"/>
              </w:rPr>
              <w:t>TP to TR 38.876: Skeleton for Co-existence simulation results, Ericsson</w:t>
            </w:r>
          </w:p>
          <w:p>
            <w:pPr>
              <w:keepNext/>
              <w:keepLines/>
              <w:spacing w:after="0"/>
              <w:rPr>
                <w:rFonts w:ascii="Arial" w:hAnsi="Arial" w:eastAsia="宋体"/>
                <w:snapToGrid w:val="0"/>
                <w:sz w:val="18"/>
                <w:lang w:val="en-AU"/>
              </w:rPr>
            </w:pPr>
            <w:r>
              <w:rPr>
                <w:rFonts w:ascii="Arial" w:hAnsi="Arial" w:eastAsia="宋体"/>
                <w:snapToGrid w:val="0"/>
                <w:sz w:val="18"/>
                <w:lang w:val="en-AU"/>
              </w:rPr>
              <w:t>R4-2310404</w:t>
            </w:r>
            <w:r>
              <w:rPr>
                <w:rFonts w:ascii="Arial" w:hAnsi="Arial" w:eastAsia="宋体"/>
                <w:snapToGrid w:val="0"/>
                <w:sz w:val="18"/>
                <w:lang w:val="en-AU"/>
              </w:rPr>
              <w:tab/>
            </w:r>
            <w:r>
              <w:rPr>
                <w:rFonts w:ascii="Arial" w:hAnsi="Arial" w:eastAsia="宋体"/>
                <w:snapToGrid w:val="0"/>
                <w:sz w:val="18"/>
                <w:lang w:val="en-AU"/>
              </w:rPr>
              <w:t>TP for TS 38.876: Clause 6.1~6.3,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R4-2310405</w:t>
            </w:r>
            <w:r>
              <w:rPr>
                <w:rFonts w:ascii="Arial" w:hAnsi="Arial" w:eastAsia="宋体"/>
                <w:snapToGrid w:val="0"/>
                <w:sz w:val="18"/>
                <w:lang w:val="en-AU"/>
              </w:rPr>
              <w:tab/>
            </w:r>
            <w:r>
              <w:rPr>
                <w:rFonts w:ascii="Arial" w:hAnsi="Arial" w:eastAsia="宋体"/>
                <w:snapToGrid w:val="0"/>
                <w:sz w:val="18"/>
                <w:lang w:val="en-AU"/>
              </w:rPr>
              <w:t>TP for TR38.876:clause 7.1 and 7.1.1,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R4-2310406</w:t>
            </w:r>
            <w:r>
              <w:rPr>
                <w:rFonts w:ascii="Arial" w:hAnsi="Arial" w:eastAsia="宋体"/>
                <w:snapToGrid w:val="0"/>
                <w:sz w:val="18"/>
                <w:lang w:val="en-AU"/>
              </w:rPr>
              <w:tab/>
            </w:r>
            <w:r>
              <w:rPr>
                <w:rFonts w:ascii="Arial" w:hAnsi="Arial" w:eastAsia="宋体"/>
                <w:snapToGrid w:val="0"/>
                <w:sz w:val="18"/>
                <w:lang w:val="en-AU"/>
              </w:rPr>
              <w:t>TP for TR 38.876 to introduce ATG UE Tx requirements part 1, Huawei, HiSilicon</w:t>
            </w:r>
          </w:p>
          <w:p>
            <w:pPr>
              <w:keepNext/>
              <w:keepLines/>
              <w:spacing w:after="0"/>
              <w:rPr>
                <w:rFonts w:ascii="Arial" w:hAnsi="Arial" w:eastAsia="宋体"/>
                <w:snapToGrid w:val="0"/>
                <w:sz w:val="18"/>
                <w:lang w:val="en-AU"/>
              </w:rPr>
            </w:pPr>
            <w:r>
              <w:rPr>
                <w:rFonts w:ascii="Arial" w:hAnsi="Arial" w:eastAsia="宋体"/>
                <w:snapToGrid w:val="0"/>
                <w:sz w:val="18"/>
                <w:lang w:val="en-AU"/>
              </w:rPr>
              <w:t>R4-2309169</w:t>
            </w:r>
            <w:r>
              <w:rPr>
                <w:rFonts w:ascii="Arial" w:hAnsi="Arial" w:eastAsia="宋体"/>
                <w:snapToGrid w:val="0"/>
                <w:sz w:val="18"/>
                <w:lang w:val="en-AU"/>
              </w:rPr>
              <w:tab/>
            </w:r>
            <w:r>
              <w:rPr>
                <w:rFonts w:ascii="Arial" w:hAnsi="Arial" w:eastAsia="宋体"/>
                <w:snapToGrid w:val="0"/>
                <w:sz w:val="18"/>
                <w:lang w:val="en-AU"/>
              </w:rPr>
              <w:t>TP for TR38.876 :clause 7.2.3.4~7.2.3.7,  ZTE Corporation</w:t>
            </w:r>
          </w:p>
          <w:p>
            <w:pPr>
              <w:keepNext/>
              <w:keepLines/>
              <w:spacing w:after="0"/>
              <w:rPr>
                <w:rFonts w:ascii="Arial" w:hAnsi="Arial" w:eastAsia="宋体"/>
                <w:snapToGrid w:val="0"/>
                <w:sz w:val="18"/>
                <w:lang w:val="en-AU"/>
              </w:rPr>
            </w:pPr>
            <w:r>
              <w:rPr>
                <w:rFonts w:ascii="Arial" w:hAnsi="Arial" w:eastAsia="宋体"/>
                <w:snapToGrid w:val="0"/>
                <w:sz w:val="18"/>
                <w:lang w:val="en-AU"/>
              </w:rPr>
              <w:t>R4-2309761</w:t>
            </w:r>
            <w:r>
              <w:rPr>
                <w:rFonts w:ascii="Arial" w:hAnsi="Arial" w:eastAsia="宋体"/>
                <w:snapToGrid w:val="0"/>
                <w:sz w:val="18"/>
                <w:lang w:val="en-AU"/>
              </w:rPr>
              <w:tab/>
            </w:r>
            <w:r>
              <w:rPr>
                <w:rFonts w:ascii="Arial" w:hAnsi="Arial" w:eastAsia="宋体"/>
                <w:snapToGrid w:val="0"/>
                <w:sz w:val="18"/>
                <w:lang w:val="en-AU"/>
              </w:rPr>
              <w:t>TP for TR 38.876 to introduce ATG BS Rx requirements, CMCC</w:t>
            </w:r>
          </w:p>
          <w:p>
            <w:pPr>
              <w:keepNext/>
              <w:keepLines/>
              <w:spacing w:after="0"/>
              <w:rPr>
                <w:rFonts w:ascii="Arial" w:hAnsi="Arial" w:eastAsia="宋体"/>
                <w:snapToGrid w:val="0"/>
                <w:sz w:val="18"/>
                <w:lang w:val="en-AU"/>
              </w:rPr>
            </w:pPr>
            <w:r>
              <w:rPr>
                <w:rFonts w:ascii="Arial" w:hAnsi="Arial" w:eastAsia="宋体"/>
                <w:snapToGrid w:val="0"/>
                <w:sz w:val="18"/>
                <w:lang w:val="en-AU"/>
              </w:rPr>
              <w:t>R4-2310056</w:t>
            </w:r>
            <w:r>
              <w:rPr>
                <w:rFonts w:ascii="Arial" w:hAnsi="Arial" w:eastAsia="宋体"/>
                <w:snapToGrid w:val="0"/>
                <w:sz w:val="18"/>
                <w:lang w:val="en-AU"/>
              </w:rPr>
              <w:tab/>
            </w:r>
            <w:r>
              <w:rPr>
                <w:rFonts w:ascii="Arial" w:hAnsi="Arial" w:eastAsia="宋体"/>
                <w:snapToGrid w:val="0"/>
                <w:sz w:val="18"/>
                <w:lang w:val="en-AU"/>
              </w:rPr>
              <w:t>TP to TR 38.876 RRM requirements for ATG network, CMCC</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.3.0</w:t>
            </w:r>
          </w:p>
        </w:tc>
        <w:tc>
          <w:tcPr>
            <w:tcW w:w="709" w:type="dxa"/>
            <w:shd w:val="solid" w:color="FFFFFF" w:fill="auto"/>
          </w:tcPr>
          <w:p>
            <w:pPr>
              <w:keepNext/>
              <w:keepLines/>
              <w:spacing w:after="0"/>
              <w:rPr>
                <w:rFonts w:ascii="Arial" w:hAnsi="Arial" w:eastAsia="宋体"/>
                <w:snapToGrid w:val="0"/>
                <w:sz w:val="18"/>
                <w:lang w:val="en-AU" w:eastAsia="zh-CN"/>
              </w:rPr>
            </w:pPr>
            <w:r>
              <w:rPr>
                <w:rFonts w:hint="eastAsia" w:ascii="Arial" w:hAnsi="Arial" w:eastAsia="宋体"/>
                <w:snapToGrid w:val="0"/>
                <w:sz w:val="18"/>
                <w:lang w:val="en-AU" w:eastAsia="zh-CN"/>
              </w:rPr>
              <w:t>0</w:t>
            </w:r>
            <w:r>
              <w:rPr>
                <w:rFonts w:ascii="Arial" w:hAnsi="Arial" w:eastAsia="宋体"/>
                <w:snapToGrid w:val="0"/>
                <w:sz w:val="18"/>
                <w:lang w:val="en-AU"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90" w:hRule="atLeast"/>
        </w:trPr>
        <w:tc>
          <w:tcPr>
            <w:tcW w:w="800" w:type="dxa"/>
            <w:shd w:val="solid" w:color="FFFFFF" w:fill="auto"/>
          </w:tcPr>
          <w:p>
            <w:pPr>
              <w:keepNext/>
              <w:keepLines/>
              <w:spacing w:after="0"/>
              <w:rPr>
                <w:rFonts w:ascii="Arial" w:hAnsi="Arial" w:eastAsia="宋体"/>
                <w:sz w:val="18"/>
                <w:szCs w:val="18"/>
                <w:lang w:val="en-US" w:eastAsia="zh-CN"/>
              </w:rPr>
            </w:pPr>
            <w:r>
              <w:rPr>
                <w:rFonts w:hint="eastAsia" w:ascii="Arial" w:hAnsi="Arial" w:eastAsia="宋体"/>
                <w:sz w:val="18"/>
                <w:szCs w:val="18"/>
                <w:lang w:val="en-US" w:eastAsia="zh-CN"/>
              </w:rPr>
              <w:t>08/2023</w:t>
            </w:r>
          </w:p>
        </w:tc>
        <w:tc>
          <w:tcPr>
            <w:tcW w:w="1185" w:type="dxa"/>
            <w:shd w:val="solid" w:color="FFFFFF" w:fill="auto"/>
          </w:tcPr>
          <w:p>
            <w:pPr>
              <w:keepNext/>
              <w:keepLines/>
              <w:spacing w:after="0"/>
              <w:rPr>
                <w:rFonts w:ascii="Arial" w:hAnsi="Arial" w:eastAsia="宋体"/>
                <w:snapToGrid w:val="0"/>
                <w:sz w:val="18"/>
                <w:lang w:val="en-US" w:eastAsia="zh-CN"/>
              </w:rPr>
            </w:pPr>
            <w:r>
              <w:rPr>
                <w:rFonts w:hint="eastAsia" w:ascii="Arial" w:hAnsi="Arial" w:eastAsia="宋体"/>
                <w:snapToGrid w:val="0"/>
                <w:sz w:val="18"/>
                <w:lang w:val="en-US" w:eastAsia="zh-CN"/>
              </w:rPr>
              <w:t>RAN4#108</w:t>
            </w:r>
          </w:p>
        </w:tc>
        <w:tc>
          <w:tcPr>
            <w:tcW w:w="1134" w:type="dxa"/>
            <w:shd w:val="solid" w:color="FFFFFF" w:fill="auto"/>
          </w:tcPr>
          <w:p>
            <w:pPr>
              <w:keepNext/>
              <w:keepLines/>
              <w:spacing w:after="0"/>
              <w:rPr>
                <w:rFonts w:ascii="Arial" w:hAnsi="Arial" w:eastAsia="宋体"/>
                <w:sz w:val="18"/>
                <w:lang w:val="en-US" w:eastAsia="zh-CN"/>
              </w:rPr>
            </w:pPr>
            <w:r>
              <w:rPr>
                <w:rFonts w:hint="eastAsia" w:ascii="Arial" w:hAnsi="Arial" w:eastAsia="宋体"/>
                <w:sz w:val="18"/>
                <w:lang w:val="en-US" w:eastAsia="zh-CN"/>
              </w:rPr>
              <w:t>R4-2312291</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ascii="Arial" w:hAnsi="Arial" w:eastAsia="宋体"/>
                <w:snapToGrid w:val="0"/>
                <w:sz w:val="18"/>
                <w:lang w:val="en-US" w:eastAsia="zh-CN"/>
              </w:rPr>
            </w:pPr>
            <w:r>
              <w:rPr>
                <w:rFonts w:ascii="Arial" w:hAnsi="Arial" w:eastAsia="宋体"/>
                <w:snapToGrid w:val="0"/>
                <w:sz w:val="18"/>
                <w:lang w:val="en-AU"/>
              </w:rPr>
              <w:t>R4-2311266</w:t>
            </w:r>
            <w:r>
              <w:rPr>
                <w:rFonts w:hint="eastAsia" w:ascii="Arial" w:hAnsi="Arial" w:eastAsia="宋体"/>
                <w:snapToGrid w:val="0"/>
                <w:sz w:val="18"/>
                <w:lang w:val="en-US" w:eastAsia="zh-CN"/>
              </w:rPr>
              <w:t>, TP to TR 38.876: Addition of Co-existence simulation results for Synchronized Scenarios, Ericsson</w:t>
            </w:r>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R4-2311458</w:t>
            </w:r>
            <w:r>
              <w:rPr>
                <w:rFonts w:hint="eastAsia" w:ascii="Arial" w:hAnsi="Arial" w:eastAsia="宋体"/>
                <w:snapToGrid w:val="0"/>
                <w:sz w:val="18"/>
                <w:lang w:val="en-US" w:eastAsia="zh-CN"/>
              </w:rPr>
              <w:t xml:space="preserve">, TP for TR 38.876 on BS RF requirements, Huawei, HiSilicon </w:t>
            </w:r>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R4-2313501</w:t>
            </w:r>
            <w:r>
              <w:rPr>
                <w:rFonts w:hint="eastAsia" w:ascii="Arial" w:hAnsi="Arial" w:eastAsia="宋体"/>
                <w:snapToGrid w:val="0"/>
                <w:sz w:val="18"/>
                <w:lang w:val="en-US" w:eastAsia="zh-CN"/>
              </w:rPr>
              <w:t>, TP for TR 38.876: General aspects, Apple</w:t>
            </w:r>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R4-2313502</w:t>
            </w:r>
            <w:r>
              <w:rPr>
                <w:rFonts w:hint="eastAsia" w:ascii="Arial" w:hAnsi="Arial" w:eastAsia="宋体"/>
                <w:snapToGrid w:val="0"/>
                <w:sz w:val="18"/>
                <w:lang w:val="en-US" w:eastAsia="zh-CN"/>
              </w:rPr>
              <w:t xml:space="preserve">, TP for TR 38.876: ATG UE Tx requirement, Apple </w:t>
            </w:r>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R4-2314451</w:t>
            </w:r>
            <w:r>
              <w:rPr>
                <w:rFonts w:hint="eastAsia" w:ascii="Arial" w:hAnsi="Arial" w:eastAsia="宋体"/>
                <w:snapToGrid w:val="0"/>
                <w:sz w:val="18"/>
                <w:lang w:val="en-US" w:eastAsia="zh-CN"/>
              </w:rPr>
              <w:t xml:space="preserve">, TP to TR 38.876: RRM requirements for ATG network, </w:t>
            </w:r>
            <w:bookmarkStart w:id="1512" w:name="_Hlk41145958"/>
            <w:r>
              <w:rPr>
                <w:rFonts w:hint="eastAsia" w:ascii="Arial" w:hAnsi="Arial" w:eastAsia="宋体"/>
                <w:snapToGrid w:val="0"/>
                <w:sz w:val="18"/>
                <w:lang w:val="en-US" w:eastAsia="zh-CN"/>
              </w:rPr>
              <w:t>CMCC</w:t>
            </w:r>
            <w:bookmarkEnd w:id="1512"/>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R4-2314758</w:t>
            </w:r>
            <w:r>
              <w:rPr>
                <w:rFonts w:hint="eastAsia" w:ascii="Arial" w:hAnsi="Arial" w:eastAsia="宋体"/>
                <w:snapToGrid w:val="0"/>
                <w:sz w:val="18"/>
                <w:lang w:val="en-US" w:eastAsia="zh-CN"/>
              </w:rPr>
              <w:t>, TP to TR 38.876: Extra results of co-existence synchronized scenarios in Annexure, Ericsson</w:t>
            </w:r>
          </w:p>
          <w:p>
            <w:pPr>
              <w:keepNext/>
              <w:keepLines/>
              <w:spacing w:after="0"/>
              <w:rPr>
                <w:rFonts w:ascii="Arial" w:hAnsi="Arial" w:eastAsia="宋体"/>
                <w:snapToGrid w:val="0"/>
                <w:sz w:val="18"/>
                <w:lang w:val="en-US" w:eastAsia="zh-CN"/>
              </w:rPr>
            </w:pPr>
            <w:r>
              <w:rPr>
                <w:rFonts w:ascii="Arial" w:hAnsi="Arial" w:eastAsia="宋体"/>
                <w:snapToGrid w:val="0"/>
                <w:sz w:val="18"/>
                <w:lang w:val="en-US" w:eastAsia="zh-CN"/>
              </w:rPr>
              <w:t>R4-2314760</w:t>
            </w:r>
            <w:r>
              <w:rPr>
                <w:rFonts w:hint="eastAsia" w:ascii="Arial" w:hAnsi="Arial" w:eastAsia="宋体"/>
                <w:snapToGrid w:val="0"/>
                <w:sz w:val="18"/>
                <w:lang w:val="en-US" w:eastAsia="zh-CN"/>
              </w:rPr>
              <w:t>, TP for TR 38.876 to introduce ATG UE Tx requirements part 1, Huawei, HiSilicon</w:t>
            </w:r>
          </w:p>
        </w:tc>
        <w:tc>
          <w:tcPr>
            <w:tcW w:w="709" w:type="dxa"/>
            <w:shd w:val="solid" w:color="FFFFFF" w:fill="auto"/>
          </w:tcPr>
          <w:p>
            <w:pPr>
              <w:keepNext/>
              <w:keepLines/>
              <w:spacing w:after="0"/>
              <w:rPr>
                <w:rFonts w:ascii="Arial" w:hAnsi="Arial" w:eastAsia="宋体"/>
                <w:snapToGrid w:val="0"/>
                <w:sz w:val="18"/>
                <w:lang w:val="en-US" w:eastAsia="zh-CN"/>
              </w:rPr>
            </w:pPr>
            <w:r>
              <w:rPr>
                <w:rFonts w:hint="eastAsia" w:ascii="Arial" w:hAnsi="Arial" w:eastAsia="宋体"/>
                <w:snapToGrid w:val="0"/>
                <w:sz w:val="18"/>
                <w:lang w:val="en-US" w:eastAsia="zh-CN"/>
              </w:rPr>
              <w:t>0.4.0</w:t>
            </w:r>
          </w:p>
        </w:tc>
        <w:tc>
          <w:tcPr>
            <w:tcW w:w="709" w:type="dxa"/>
            <w:shd w:val="solid" w:color="FFFFFF" w:fill="auto"/>
          </w:tcPr>
          <w:p>
            <w:pPr>
              <w:keepNext/>
              <w:keepLines/>
              <w:spacing w:after="0"/>
              <w:rPr>
                <w:rFonts w:ascii="Arial" w:hAnsi="Arial" w:eastAsia="宋体"/>
                <w:snapToGrid w:val="0"/>
                <w:sz w:val="18"/>
                <w:lang w:val="en-US" w:eastAsia="zh-CN"/>
              </w:rPr>
            </w:pPr>
            <w:r>
              <w:rPr>
                <w:rFonts w:hint="eastAsia" w:ascii="Arial" w:hAnsi="Arial" w:eastAsia="宋体"/>
                <w:snapToGrid w:val="0"/>
                <w:sz w:val="18"/>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宋体"/>
                <w:sz w:val="18"/>
                <w:szCs w:val="18"/>
                <w:lang w:val="en-US" w:eastAsia="zh-CN"/>
              </w:rPr>
            </w:pPr>
            <w:r>
              <w:rPr>
                <w:rFonts w:hint="eastAsia" w:ascii="Arial" w:hAnsi="Arial" w:eastAsia="宋体"/>
                <w:sz w:val="18"/>
                <w:szCs w:val="18"/>
                <w:lang w:val="en-US" w:eastAsia="zh-CN"/>
              </w:rPr>
              <w:t>10/2023</w:t>
            </w:r>
          </w:p>
        </w:tc>
        <w:tc>
          <w:tcPr>
            <w:tcW w:w="1185"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RAN4#108bis</w:t>
            </w:r>
          </w:p>
        </w:tc>
        <w:tc>
          <w:tcPr>
            <w:tcW w:w="1134" w:type="dxa"/>
            <w:shd w:val="solid" w:color="FFFFFF" w:fill="auto"/>
          </w:tcPr>
          <w:p>
            <w:pPr>
              <w:keepNext/>
              <w:keepLines/>
              <w:spacing w:after="0"/>
              <w:rPr>
                <w:rFonts w:hint="default" w:ascii="Arial" w:hAnsi="Arial" w:eastAsia="宋体"/>
                <w:sz w:val="18"/>
                <w:lang w:val="en-US" w:eastAsia="zh-CN"/>
              </w:rPr>
            </w:pPr>
            <w:r>
              <w:rPr>
                <w:rFonts w:hint="eastAsia" w:ascii="Arial" w:hAnsi="Arial" w:eastAsia="宋体"/>
                <w:sz w:val="18"/>
                <w:lang w:val="en-US" w:eastAsia="zh-CN"/>
              </w:rPr>
              <w:t>R4-2315904</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hint="eastAsia" w:ascii="Arial" w:hAnsi="Arial" w:eastAsia="宋体"/>
                <w:snapToGrid w:val="0"/>
                <w:sz w:val="18"/>
                <w:lang w:val="en-US" w:eastAsia="zh-CN"/>
              </w:rPr>
            </w:pPr>
            <w:r>
              <w:rPr>
                <w:rFonts w:ascii="Arial" w:hAnsi="Arial" w:eastAsia="宋体"/>
                <w:snapToGrid w:val="0"/>
                <w:sz w:val="18"/>
                <w:lang w:val="en-US" w:eastAsia="zh-CN"/>
              </w:rPr>
              <w:t>R4-2317745</w:t>
            </w:r>
            <w:r>
              <w:rPr>
                <w:rFonts w:hint="eastAsia" w:ascii="Arial" w:hAnsi="Arial" w:eastAsia="宋体"/>
                <w:snapToGrid w:val="0"/>
                <w:sz w:val="18"/>
                <w:lang w:val="en-US" w:eastAsia="zh-CN"/>
              </w:rPr>
              <w:t>, TP for TR 38.876 to introduce minimum output power requirements for ATG UE, Huawei, HiSilicon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R4-2317746 TP for TR 38.876 to introduce some consideration for OOBB requirements</w:t>
            </w:r>
            <w:r>
              <w:rPr>
                <w:rFonts w:hint="eastAsia" w:ascii="Arial" w:hAnsi="Arial" w:eastAsia="宋体"/>
                <w:snapToGrid w:val="0"/>
                <w:sz w:val="18"/>
                <w:lang w:val="en-US" w:eastAsia="zh-CN"/>
              </w:rPr>
              <w:t>, Huawei, HiSilicon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R4-2315197</w:t>
            </w:r>
            <w:r>
              <w:rPr>
                <w:rFonts w:hint="eastAsia" w:ascii="Arial" w:hAnsi="Arial" w:eastAsia="宋体"/>
                <w:snapToGrid w:val="0"/>
                <w:sz w:val="18"/>
                <w:lang w:val="en-US" w:eastAsia="zh-CN"/>
              </w:rPr>
              <w:t>, TP for ATG TR  annex calibration part, CMCC</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R4-2315443 TP for TR 38.876 Addition of Summary for synchronized scenarios simulation results</w:t>
            </w:r>
            <w:r>
              <w:rPr>
                <w:rFonts w:hint="eastAsia" w:ascii="Arial" w:hAnsi="Arial" w:eastAsia="宋体"/>
                <w:snapToGrid w:val="0"/>
                <w:sz w:val="18"/>
                <w:lang w:val="en-US" w:eastAsia="zh-CN"/>
              </w:rPr>
              <w:t>, Ericsson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R4-2316518 TP to TR 38.876 In-band blocking</w:t>
            </w:r>
            <w:r>
              <w:rPr>
                <w:rFonts w:hint="eastAsia" w:ascii="Arial" w:hAnsi="Arial" w:eastAsia="宋体"/>
                <w:snapToGrid w:val="0"/>
                <w:sz w:val="18"/>
                <w:lang w:val="en-US" w:eastAsia="zh-CN"/>
              </w:rPr>
              <w:t>, Ericsson</w:t>
            </w:r>
          </w:p>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R4-2316719, TP on TR 38.876 for ATG UE Rx requirements – Part 1, Qualcomm Incorporated</w:t>
            </w:r>
          </w:p>
          <w:p>
            <w:pPr>
              <w:keepNext/>
              <w:keepLines/>
              <w:spacing w:after="0"/>
              <w:rPr>
                <w:rFonts w:hint="default" w:ascii="Arial" w:hAnsi="Arial" w:eastAsia="宋体"/>
                <w:snapToGrid w:val="0"/>
                <w:sz w:val="18"/>
                <w:lang w:val="en-US" w:eastAsia="zh-CN"/>
              </w:rPr>
            </w:pPr>
            <w:r>
              <w:rPr>
                <w:rFonts w:hint="default" w:ascii="Arial" w:hAnsi="Arial" w:eastAsia="宋体"/>
                <w:snapToGrid w:val="0"/>
                <w:sz w:val="18"/>
                <w:lang w:val="en-US" w:eastAsia="zh-CN"/>
              </w:rPr>
              <w:t>R4-2317741</w:t>
            </w:r>
            <w:r>
              <w:rPr>
                <w:rFonts w:hint="eastAsia" w:ascii="Arial" w:hAnsi="Arial" w:eastAsia="宋体"/>
                <w:snapToGrid w:val="0"/>
                <w:sz w:val="18"/>
                <w:lang w:val="en-US" w:eastAsia="zh-CN"/>
              </w:rPr>
              <w:t xml:space="preserve">, </w:t>
            </w:r>
            <w:r>
              <w:rPr>
                <w:rFonts w:hint="default" w:ascii="Arial" w:hAnsi="Arial" w:eastAsia="宋体"/>
                <w:snapToGrid w:val="0"/>
                <w:sz w:val="18"/>
                <w:lang w:val="en-US" w:eastAsia="zh-CN"/>
              </w:rPr>
              <w:t>TP for TR 38876 - section 1 to section 6</w:t>
            </w:r>
            <w:r>
              <w:rPr>
                <w:rFonts w:hint="eastAsia" w:ascii="Arial" w:hAnsi="Arial" w:eastAsia="宋体"/>
                <w:snapToGrid w:val="0"/>
                <w:sz w:val="18"/>
                <w:lang w:val="en-US" w:eastAsia="zh-CN"/>
              </w:rPr>
              <w:t>, CMCC</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0.5.0</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宋体"/>
                <w:sz w:val="18"/>
                <w:szCs w:val="18"/>
                <w:lang w:val="en-US" w:eastAsia="zh-CN"/>
              </w:rPr>
            </w:pPr>
            <w:r>
              <w:rPr>
                <w:rFonts w:hint="eastAsia" w:ascii="Arial" w:hAnsi="Arial" w:eastAsia="宋体"/>
                <w:sz w:val="18"/>
                <w:szCs w:val="18"/>
                <w:lang w:val="en-US" w:eastAsia="zh-CN"/>
              </w:rPr>
              <w:t>11/2023</w:t>
            </w:r>
          </w:p>
        </w:tc>
        <w:tc>
          <w:tcPr>
            <w:tcW w:w="1185"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RAN4#109</w:t>
            </w:r>
          </w:p>
        </w:tc>
        <w:tc>
          <w:tcPr>
            <w:tcW w:w="1134" w:type="dxa"/>
            <w:shd w:val="solid" w:color="FFFFFF" w:fill="auto"/>
          </w:tcPr>
          <w:p>
            <w:pPr>
              <w:keepNext/>
              <w:keepLines/>
              <w:spacing w:after="0"/>
              <w:rPr>
                <w:rFonts w:hint="eastAsia" w:ascii="Arial" w:hAnsi="Arial" w:eastAsia="宋体"/>
                <w:sz w:val="18"/>
                <w:lang w:val="en-US" w:eastAsia="zh-CN"/>
              </w:rPr>
            </w:pPr>
            <w:r>
              <w:rPr>
                <w:rFonts w:hint="eastAsia" w:ascii="Arial" w:hAnsi="Arial" w:eastAsia="宋体"/>
                <w:sz w:val="18"/>
                <w:lang w:val="en-US" w:eastAsia="zh-CN"/>
              </w:rPr>
              <w:t>R4-2319706</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R4-2318921</w:t>
            </w:r>
            <w:r>
              <w:rPr>
                <w:rFonts w:hint="eastAsia" w:ascii="Arial" w:hAnsi="Arial" w:eastAsia="宋体"/>
                <w:snapToGrid w:val="0"/>
                <w:sz w:val="18"/>
                <w:lang w:val="en-US" w:eastAsia="zh-CN"/>
              </w:rPr>
              <w:t xml:space="preserve">, </w:t>
            </w:r>
            <w:r>
              <w:rPr>
                <w:rFonts w:hint="default" w:ascii="Arial" w:hAnsi="Arial" w:eastAsia="宋体"/>
                <w:snapToGrid w:val="0"/>
                <w:sz w:val="18"/>
                <w:lang w:val="en-US" w:eastAsia="zh-CN"/>
              </w:rPr>
              <w:t>TP for TR 38.876 to add non-synchronized calibration part for ATG TR</w:t>
            </w:r>
            <w:r>
              <w:rPr>
                <w:rFonts w:hint="eastAsia" w:ascii="Arial" w:hAnsi="Arial" w:eastAsia="宋体"/>
                <w:snapToGrid w:val="0"/>
                <w:sz w:val="18"/>
                <w:lang w:val="en-US" w:eastAsia="zh-CN"/>
              </w:rPr>
              <w:t>, CMCC</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R4-2319726</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to TR 38.876 Updated non-synchronized scenarios network layout model</w:t>
            </w:r>
            <w:r>
              <w:rPr>
                <w:rFonts w:hint="eastAsia" w:ascii="Arial" w:hAnsi="Arial" w:eastAsia="宋体"/>
                <w:snapToGrid w:val="0"/>
                <w:sz w:val="18"/>
                <w:lang w:val="en-US" w:eastAsia="zh-CN"/>
              </w:rPr>
              <w:t>, Ericsson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R4-2319727</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to TR 38.876 Addition of co-existence simulation results for ATG non-synchronized scenarios</w:t>
            </w:r>
            <w:r>
              <w:rPr>
                <w:rFonts w:hint="eastAsia" w:ascii="Arial" w:hAnsi="Arial" w:eastAsia="宋体"/>
                <w:snapToGrid w:val="0"/>
                <w:sz w:val="18"/>
                <w:lang w:val="en-US" w:eastAsia="zh-CN"/>
              </w:rPr>
              <w:t>, Ericsson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R4-2321911</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for TR 38.876 to add conclusion part and update omni-directional terminology and other description</w:t>
            </w:r>
            <w:r>
              <w:rPr>
                <w:rFonts w:hint="eastAsia" w:ascii="Arial" w:hAnsi="Arial" w:eastAsia="宋体"/>
                <w:snapToGrid w:val="0"/>
                <w:sz w:val="18"/>
                <w:lang w:val="en-US" w:eastAsia="zh-CN"/>
              </w:rPr>
              <w:t>, CMCC</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R4-2321912</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for TR 38.876 to maintain the Tx RF requirements for ATG UE</w:t>
            </w:r>
            <w:r>
              <w:rPr>
                <w:rFonts w:hint="eastAsia" w:ascii="Arial" w:hAnsi="Arial" w:eastAsia="宋体"/>
                <w:snapToGrid w:val="0"/>
                <w:sz w:val="18"/>
                <w:lang w:val="en-US" w:eastAsia="zh-CN"/>
              </w:rPr>
              <w:t>, Huawei, HiSilicon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R4-2319798</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to TR 38.876 on intermodulation characteristics</w:t>
            </w:r>
            <w:r>
              <w:rPr>
                <w:rFonts w:hint="eastAsia" w:ascii="Arial" w:hAnsi="Arial" w:eastAsia="宋体"/>
                <w:snapToGrid w:val="0"/>
                <w:sz w:val="18"/>
                <w:lang w:val="en-US" w:eastAsia="zh-CN"/>
              </w:rPr>
              <w:t>, Ericsson</w:t>
            </w:r>
          </w:p>
          <w:p>
            <w:pPr>
              <w:keepNext/>
              <w:keepLines/>
              <w:spacing w:after="0"/>
              <w:rPr>
                <w:rFonts w:hint="eastAsia" w:ascii="Arial" w:hAnsi="Arial" w:eastAsia="宋体"/>
                <w:snapToGrid w:val="0"/>
                <w:sz w:val="18"/>
                <w:lang w:val="en-US" w:eastAsia="zh-CN"/>
              </w:rPr>
            </w:pPr>
            <w:r>
              <w:rPr>
                <w:rFonts w:hint="default" w:ascii="Arial" w:hAnsi="Arial" w:eastAsia="宋体"/>
                <w:snapToGrid w:val="0"/>
                <w:sz w:val="18"/>
                <w:lang w:val="en-US" w:eastAsia="zh-CN"/>
              </w:rPr>
              <w:t>R4-2321916</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to TR 38.876 on ATG UE Maximum input level</w:t>
            </w:r>
            <w:r>
              <w:rPr>
                <w:rFonts w:hint="eastAsia" w:ascii="Arial" w:hAnsi="Arial" w:eastAsia="宋体"/>
                <w:snapToGrid w:val="0"/>
                <w:sz w:val="18"/>
                <w:lang w:val="en-US" w:eastAsia="zh-CN"/>
              </w:rPr>
              <w:t>, Qualcomm Incorporated</w:t>
            </w:r>
          </w:p>
          <w:p>
            <w:pPr>
              <w:keepNext/>
              <w:keepLines/>
              <w:spacing w:after="0"/>
              <w:rPr>
                <w:rFonts w:hint="default" w:ascii="Arial" w:hAnsi="Arial" w:eastAsia="宋体"/>
                <w:snapToGrid w:val="0"/>
                <w:sz w:val="18"/>
                <w:lang w:val="en-US" w:eastAsia="zh-CN"/>
              </w:rPr>
            </w:pPr>
            <w:r>
              <w:rPr>
                <w:rFonts w:hint="default" w:ascii="Arial" w:hAnsi="Arial" w:eastAsia="宋体"/>
                <w:snapToGrid w:val="0"/>
                <w:sz w:val="18"/>
                <w:lang w:val="en-US" w:eastAsia="zh-CN"/>
              </w:rPr>
              <w:t>R4-2318902</w:t>
            </w:r>
            <w:r>
              <w:rPr>
                <w:rFonts w:hint="default" w:ascii="Arial" w:hAnsi="Arial" w:eastAsia="宋体"/>
                <w:snapToGrid w:val="0"/>
                <w:sz w:val="18"/>
                <w:lang w:val="en-US" w:eastAsia="zh-CN"/>
              </w:rPr>
              <w:tab/>
            </w:r>
            <w:r>
              <w:rPr>
                <w:rFonts w:hint="default" w:ascii="Arial" w:hAnsi="Arial" w:eastAsia="宋体"/>
                <w:snapToGrid w:val="0"/>
                <w:sz w:val="18"/>
                <w:lang w:val="en-US" w:eastAsia="zh-CN"/>
              </w:rPr>
              <w:t>TP to TR 38.876: RRM requirements for ATG network</w:t>
            </w:r>
            <w:r>
              <w:rPr>
                <w:rFonts w:hint="eastAsia" w:ascii="Arial" w:hAnsi="Arial" w:eastAsia="宋体"/>
                <w:snapToGrid w:val="0"/>
                <w:sz w:val="18"/>
                <w:lang w:val="en-US" w:eastAsia="zh-CN"/>
              </w:rPr>
              <w:t>, CMCC</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0.6.0</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90" w:hRule="atLeast"/>
        </w:trPr>
        <w:tc>
          <w:tcPr>
            <w:tcW w:w="800" w:type="dxa"/>
            <w:shd w:val="solid" w:color="FFFFFF" w:fill="auto"/>
          </w:tcPr>
          <w:p>
            <w:pPr>
              <w:keepNext/>
              <w:keepLines/>
              <w:spacing w:after="0"/>
              <w:rPr>
                <w:rFonts w:hint="default" w:ascii="Arial" w:hAnsi="Arial" w:eastAsia="宋体"/>
                <w:sz w:val="18"/>
                <w:szCs w:val="18"/>
                <w:lang w:val="en-US" w:eastAsia="zh-CN"/>
              </w:rPr>
            </w:pPr>
            <w:r>
              <w:rPr>
                <w:rFonts w:hint="eastAsia" w:ascii="Arial" w:hAnsi="Arial" w:eastAsia="宋体"/>
                <w:sz w:val="18"/>
                <w:szCs w:val="18"/>
                <w:lang w:val="en-US" w:eastAsia="zh-CN"/>
              </w:rPr>
              <w:t>12/2023</w:t>
            </w:r>
          </w:p>
        </w:tc>
        <w:tc>
          <w:tcPr>
            <w:tcW w:w="1185"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RAN#102</w:t>
            </w:r>
          </w:p>
        </w:tc>
        <w:tc>
          <w:tcPr>
            <w:tcW w:w="1134" w:type="dxa"/>
            <w:shd w:val="solid" w:color="FFFFFF" w:fill="auto"/>
          </w:tcPr>
          <w:p>
            <w:pPr>
              <w:keepNext/>
              <w:keepLines/>
              <w:spacing w:after="0"/>
              <w:rPr>
                <w:rFonts w:hint="default" w:ascii="Arial" w:hAnsi="Arial" w:eastAsia="宋体"/>
                <w:sz w:val="18"/>
                <w:lang w:val="en-US" w:eastAsia="zh-CN"/>
              </w:rPr>
            </w:pPr>
            <w:r>
              <w:rPr>
                <w:rFonts w:hint="eastAsia" w:ascii="Arial" w:hAnsi="Arial" w:eastAsia="宋体"/>
                <w:sz w:val="18"/>
                <w:lang w:val="en-US" w:eastAsia="zh-CN"/>
              </w:rPr>
              <w:t>RP-233520</w:t>
            </w:r>
          </w:p>
        </w:tc>
        <w:tc>
          <w:tcPr>
            <w:tcW w:w="375" w:type="dxa"/>
            <w:shd w:val="solid" w:color="FFFFFF" w:fill="auto"/>
          </w:tcPr>
          <w:p>
            <w:pPr>
              <w:keepNext/>
              <w:keepLines/>
              <w:spacing w:after="0"/>
              <w:rPr>
                <w:rFonts w:ascii="Arial" w:hAnsi="Arial" w:eastAsia="宋体"/>
                <w:snapToGrid w:val="0"/>
                <w:sz w:val="18"/>
                <w:lang w:val="en-AU"/>
              </w:rPr>
            </w:pPr>
          </w:p>
        </w:tc>
        <w:tc>
          <w:tcPr>
            <w:tcW w:w="428" w:type="dxa"/>
            <w:shd w:val="solid" w:color="FFFFFF" w:fill="auto"/>
          </w:tcPr>
          <w:p>
            <w:pPr>
              <w:keepNext/>
              <w:keepLines/>
              <w:spacing w:after="0"/>
              <w:rPr>
                <w:rFonts w:ascii="Arial" w:hAnsi="Arial" w:eastAsia="宋体"/>
                <w:snapToGrid w:val="0"/>
                <w:sz w:val="18"/>
                <w:lang w:val="en-AU"/>
              </w:rPr>
            </w:pPr>
          </w:p>
        </w:tc>
        <w:tc>
          <w:tcPr>
            <w:tcW w:w="4583"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Provide endorsed Draft TR to RAN plenary meeting for one step approval.</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0.7.0</w:t>
            </w:r>
          </w:p>
        </w:tc>
        <w:tc>
          <w:tcPr>
            <w:tcW w:w="709" w:type="dxa"/>
            <w:shd w:val="solid" w:color="FFFFFF" w:fill="auto"/>
          </w:tcPr>
          <w:p>
            <w:pPr>
              <w:keepNext/>
              <w:keepLines/>
              <w:spacing w:after="0"/>
              <w:rPr>
                <w:rFonts w:hint="default" w:ascii="Arial" w:hAnsi="Arial" w:eastAsia="宋体"/>
                <w:snapToGrid w:val="0"/>
                <w:sz w:val="18"/>
                <w:lang w:val="en-US" w:eastAsia="zh-CN"/>
              </w:rPr>
            </w:pPr>
            <w:r>
              <w:rPr>
                <w:rFonts w:hint="eastAsia" w:ascii="Arial" w:hAnsi="Arial" w:eastAsia="宋体"/>
                <w:snapToGrid w:val="0"/>
                <w:sz w:val="18"/>
                <w:lang w:val="en-US" w:eastAsia="zh-CN"/>
              </w:rPr>
              <w:t>1.0.0</w:t>
            </w:r>
          </w:p>
        </w:tc>
      </w:tr>
    </w:tbl>
    <w:p>
      <w:pPr>
        <w:rPr>
          <w:lang w:eastAsia="zh-CN"/>
        </w:rPr>
      </w:pPr>
    </w:p>
    <w:p>
      <w:pPr>
        <w:rPr>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Arial Bold">
    <w:altName w:val="Arial"/>
    <w:panose1 w:val="020B0704020202020204"/>
    <w:charset w:val="00"/>
    <w:family w:val="auto"/>
    <w:pitch w:val="default"/>
    <w:sig w:usb0="00000000" w:usb1="00000000" w:usb2="00000000" w:usb3="00000000" w:csb0="00000001" w:csb1="00000000"/>
  </w:font>
  <w:font w:name="Helvetica 55 Roman">
    <w:altName w:val="Malgun Gothic"/>
    <w:panose1 w:val="00000000000000000000"/>
    <w:charset w:val="00"/>
    <w:family w:val="auto"/>
    <w:pitch w:val="default"/>
    <w:sig w:usb0="00000000" w:usb1="00000000" w:usb2="00000000" w:usb3="00000000" w:csb0="0000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Yu Mincho">
    <w:altName w:val="Yu Gothic UI"/>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PMingLiU">
    <w:altName w:val="Microsoft JhengHei UI"/>
    <w:panose1 w:val="02010601000101010101"/>
    <w:charset w:val="88"/>
    <w:family w:val="roman"/>
    <w:pitch w:val="default"/>
    <w:sig w:usb0="00000000" w:usb1="00000000" w:usb2="00000016" w:usb3="00000000" w:csb0="00100001" w:csb1="00000000"/>
  </w:font>
  <w:font w:name="v4.2.0">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uto" w:vAnchor="text" w:hAnchor="margin" w:xAlign="right" w:y="1"/>
      <w:widowControl/>
    </w:pPr>
    <w:r>
      <w:fldChar w:fldCharType="begin"/>
    </w:r>
    <w:r>
      <w:instrText xml:space="preserve"> STYLEREF ZA </w:instrText>
    </w:r>
    <w:r>
      <w:fldChar w:fldCharType="separate"/>
    </w:r>
    <w:r>
      <w:t>3GPP TR 38.876 V1.0.0 (2023-12)</w:t>
    </w:r>
    <w:r>
      <w:fldChar w:fldCharType="end"/>
    </w:r>
  </w:p>
  <w:p>
    <w:pPr>
      <w:pStyle w:val="38"/>
      <w:framePr w:wrap="auto" w:vAnchor="text" w:hAnchor="margin" w:xAlign="center" w:y="1"/>
      <w:widowControl/>
    </w:pPr>
    <w:r>
      <w:fldChar w:fldCharType="begin"/>
    </w:r>
    <w:r>
      <w:instrText xml:space="preserve"> PAGE </w:instrText>
    </w:r>
    <w:r>
      <w:fldChar w:fldCharType="separate"/>
    </w:r>
    <w:r>
      <w:t>11</w:t>
    </w:r>
    <w:r>
      <w:fldChar w:fldCharType="end"/>
    </w:r>
  </w:p>
  <w:p>
    <w:pPr>
      <w:pStyle w:val="38"/>
      <w:framePr w:wrap="auto" w:vAnchor="text" w:hAnchor="margin" w:y="1"/>
      <w:widowControl/>
    </w:pPr>
    <w:r>
      <w:fldChar w:fldCharType="begin"/>
    </w:r>
    <w:r>
      <w:instrText xml:space="preserve"> STYLEREF ZGSM </w:instrText>
    </w:r>
    <w:r>
      <w:fldChar w:fldCharType="separate"/>
    </w:r>
    <w:r>
      <w:t>Release 18</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F3BEE6"/>
    <w:multiLevelType w:val="singleLevel"/>
    <w:tmpl w:val="89F3BEE6"/>
    <w:lvl w:ilvl="0" w:tentative="0">
      <w:start w:val="1"/>
      <w:numFmt w:val="bullet"/>
      <w:lvlText w:val=""/>
      <w:lvlJc w:val="left"/>
      <w:pPr>
        <w:ind w:left="420" w:hanging="420"/>
      </w:pPr>
      <w:rPr>
        <w:rFonts w:hint="default" w:ascii="Wingdings" w:hAnsi="Wingdings"/>
      </w:rPr>
    </w:lvl>
  </w:abstractNum>
  <w:abstractNum w:abstractNumId="1">
    <w:nsid w:val="24464EAF"/>
    <w:multiLevelType w:val="multilevel"/>
    <w:tmpl w:val="24464E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2D8BA474"/>
    <w:multiLevelType w:val="singleLevel"/>
    <w:tmpl w:val="2D8BA474"/>
    <w:lvl w:ilvl="0" w:tentative="0">
      <w:start w:val="1"/>
      <w:numFmt w:val="bullet"/>
      <w:lvlText w:val=""/>
      <w:lvlJc w:val="left"/>
      <w:pPr>
        <w:ind w:left="420" w:hanging="420"/>
      </w:pPr>
      <w:rPr>
        <w:rFonts w:hint="default" w:ascii="Wingdings" w:hAnsi="Wingdings"/>
      </w:rPr>
    </w:lvl>
  </w:abstractNum>
  <w:abstractNum w:abstractNumId="3">
    <w:nsid w:val="2D8D880C"/>
    <w:multiLevelType w:val="singleLevel"/>
    <w:tmpl w:val="2D8D880C"/>
    <w:lvl w:ilvl="0" w:tentative="0">
      <w:start w:val="1"/>
      <w:numFmt w:val="bullet"/>
      <w:lvlText w:val=""/>
      <w:lvlJc w:val="left"/>
      <w:pPr>
        <w:ind w:left="420" w:hanging="420"/>
      </w:pPr>
      <w:rPr>
        <w:rFonts w:hint="default" w:ascii="Wingdings" w:hAnsi="Wingdings"/>
      </w:rPr>
    </w:lvl>
  </w:abstractNum>
  <w:abstractNum w:abstractNumId="4">
    <w:nsid w:val="3AA46647"/>
    <w:multiLevelType w:val="multilevel"/>
    <w:tmpl w:val="3AA46647"/>
    <w:lvl w:ilvl="0" w:tentative="0">
      <w:start w:val="1"/>
      <w:numFmt w:val="decimal"/>
      <w:pStyle w:val="146"/>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4BDF65F6"/>
    <w:multiLevelType w:val="multilevel"/>
    <w:tmpl w:val="4BDF65F6"/>
    <w:lvl w:ilvl="0" w:tentative="0">
      <w:start w:val="1"/>
      <w:numFmt w:val="decimal"/>
      <w:pStyle w:val="144"/>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5101505E"/>
    <w:multiLevelType w:val="multilevel"/>
    <w:tmpl w:val="5101505E"/>
    <w:lvl w:ilvl="0" w:tentative="0">
      <w:start w:val="1"/>
      <w:numFmt w:val="decimal"/>
      <w:pStyle w:val="147"/>
      <w:lvlText w:val="Observation %1"/>
      <w:lvlJc w:val="left"/>
      <w:pPr>
        <w:ind w:left="643" w:hanging="360"/>
      </w:pPr>
      <w:rPr>
        <w:rFonts w:hint="default"/>
      </w:rPr>
    </w:lvl>
    <w:lvl w:ilvl="1" w:tentative="0">
      <w:start w:val="1"/>
      <w:numFmt w:val="lowerLetter"/>
      <w:lvlText w:val="%2."/>
      <w:lvlJc w:val="left"/>
      <w:pPr>
        <w:ind w:left="1439" w:hanging="360"/>
      </w:pPr>
    </w:lvl>
    <w:lvl w:ilvl="2" w:tentative="0">
      <w:start w:val="1"/>
      <w:numFmt w:val="lowerRoman"/>
      <w:lvlText w:val="%3."/>
      <w:lvlJc w:val="right"/>
      <w:pPr>
        <w:ind w:left="2159" w:hanging="180"/>
      </w:pPr>
    </w:lvl>
    <w:lvl w:ilvl="3" w:tentative="0">
      <w:start w:val="1"/>
      <w:numFmt w:val="decimal"/>
      <w:lvlText w:val="%4."/>
      <w:lvlJc w:val="left"/>
      <w:pPr>
        <w:ind w:left="2879" w:hanging="360"/>
      </w:pPr>
    </w:lvl>
    <w:lvl w:ilvl="4" w:tentative="0">
      <w:start w:val="1"/>
      <w:numFmt w:val="lowerLetter"/>
      <w:lvlText w:val="%5."/>
      <w:lvlJc w:val="left"/>
      <w:pPr>
        <w:ind w:left="3599" w:hanging="360"/>
      </w:pPr>
    </w:lvl>
    <w:lvl w:ilvl="5" w:tentative="0">
      <w:start w:val="1"/>
      <w:numFmt w:val="lowerRoman"/>
      <w:lvlText w:val="%6."/>
      <w:lvlJc w:val="right"/>
      <w:pPr>
        <w:ind w:left="4319" w:hanging="180"/>
      </w:pPr>
    </w:lvl>
    <w:lvl w:ilvl="6" w:tentative="0">
      <w:start w:val="1"/>
      <w:numFmt w:val="decimal"/>
      <w:lvlText w:val="%7."/>
      <w:lvlJc w:val="left"/>
      <w:pPr>
        <w:ind w:left="5039" w:hanging="360"/>
      </w:pPr>
    </w:lvl>
    <w:lvl w:ilvl="7" w:tentative="0">
      <w:start w:val="1"/>
      <w:numFmt w:val="lowerLetter"/>
      <w:lvlText w:val="%8."/>
      <w:lvlJc w:val="left"/>
      <w:pPr>
        <w:ind w:left="5759" w:hanging="360"/>
      </w:pPr>
    </w:lvl>
    <w:lvl w:ilvl="8" w:tentative="0">
      <w:start w:val="1"/>
      <w:numFmt w:val="lowerRoman"/>
      <w:lvlText w:val="%9."/>
      <w:lvlJc w:val="right"/>
      <w:pPr>
        <w:ind w:left="6479" w:hanging="180"/>
      </w:pPr>
    </w:lvl>
  </w:abstractNum>
  <w:abstractNum w:abstractNumId="7">
    <w:nsid w:val="58B73482"/>
    <w:multiLevelType w:val="multilevel"/>
    <w:tmpl w:val="58B73482"/>
    <w:lvl w:ilvl="0" w:tentative="0">
      <w:start w:val="1"/>
      <w:numFmt w:val="bullet"/>
      <w:lvlText w:val=""/>
      <w:lvlJc w:val="left"/>
      <w:pPr>
        <w:tabs>
          <w:tab w:val="left" w:pos="-420"/>
        </w:tabs>
        <w:ind w:left="-60" w:hanging="360"/>
      </w:pPr>
      <w:rPr>
        <w:rFonts w:hint="default" w:ascii="Symbol" w:hAnsi="Symbol"/>
      </w:rPr>
    </w:lvl>
    <w:lvl w:ilvl="1" w:tentative="0">
      <w:start w:val="1"/>
      <w:numFmt w:val="bullet"/>
      <w:lvlText w:val="o"/>
      <w:lvlJc w:val="left"/>
      <w:pPr>
        <w:tabs>
          <w:tab w:val="left" w:pos="-420"/>
        </w:tabs>
        <w:ind w:left="660" w:hanging="360"/>
      </w:pPr>
      <w:rPr>
        <w:rFonts w:hint="default" w:ascii="Courier New" w:hAnsi="Courier New" w:cs="Courier New"/>
      </w:rPr>
    </w:lvl>
    <w:lvl w:ilvl="2" w:tentative="0">
      <w:start w:val="1"/>
      <w:numFmt w:val="bullet"/>
      <w:lvlText w:val=""/>
      <w:lvlJc w:val="left"/>
      <w:pPr>
        <w:tabs>
          <w:tab w:val="left" w:pos="-420"/>
        </w:tabs>
        <w:ind w:left="1380" w:hanging="360"/>
      </w:pPr>
      <w:rPr>
        <w:rFonts w:hint="default" w:ascii="Wingdings" w:hAnsi="Wingdings"/>
      </w:rPr>
    </w:lvl>
    <w:lvl w:ilvl="3" w:tentative="0">
      <w:start w:val="1"/>
      <w:numFmt w:val="bullet"/>
      <w:lvlText w:val=""/>
      <w:lvlJc w:val="left"/>
      <w:pPr>
        <w:tabs>
          <w:tab w:val="left" w:pos="-420"/>
        </w:tabs>
        <w:ind w:left="2100" w:hanging="360"/>
      </w:pPr>
      <w:rPr>
        <w:rFonts w:hint="default" w:ascii="Symbol" w:hAnsi="Symbol"/>
      </w:rPr>
    </w:lvl>
    <w:lvl w:ilvl="4" w:tentative="0">
      <w:start w:val="1"/>
      <w:numFmt w:val="bullet"/>
      <w:lvlText w:val="o"/>
      <w:lvlJc w:val="left"/>
      <w:pPr>
        <w:tabs>
          <w:tab w:val="left" w:pos="-420"/>
        </w:tabs>
        <w:ind w:left="2820" w:hanging="360"/>
      </w:pPr>
      <w:rPr>
        <w:rFonts w:hint="default" w:ascii="Courier New" w:hAnsi="Courier New" w:cs="Courier New"/>
      </w:rPr>
    </w:lvl>
    <w:lvl w:ilvl="5" w:tentative="0">
      <w:start w:val="0"/>
      <w:numFmt w:val="bullet"/>
      <w:lvlText w:val="-"/>
      <w:lvlJc w:val="left"/>
      <w:pPr>
        <w:tabs>
          <w:tab w:val="left" w:pos="-420"/>
        </w:tabs>
        <w:ind w:left="3540" w:hanging="360"/>
      </w:pPr>
      <w:rPr>
        <w:rFonts w:hint="default" w:ascii="Times New Roman" w:hAnsi="Times New Roman" w:eastAsia="Yu Mincho" w:cs="Times New Roman"/>
      </w:rPr>
    </w:lvl>
    <w:lvl w:ilvl="6" w:tentative="0">
      <w:start w:val="1"/>
      <w:numFmt w:val="bullet"/>
      <w:lvlText w:val=""/>
      <w:lvlJc w:val="left"/>
      <w:pPr>
        <w:tabs>
          <w:tab w:val="left" w:pos="-420"/>
        </w:tabs>
        <w:ind w:left="4260" w:hanging="360"/>
      </w:pPr>
      <w:rPr>
        <w:rFonts w:hint="default" w:ascii="Symbol" w:hAnsi="Symbol"/>
      </w:rPr>
    </w:lvl>
    <w:lvl w:ilvl="7" w:tentative="0">
      <w:start w:val="1"/>
      <w:numFmt w:val="bullet"/>
      <w:lvlText w:val="o"/>
      <w:lvlJc w:val="left"/>
      <w:pPr>
        <w:tabs>
          <w:tab w:val="left" w:pos="-420"/>
        </w:tabs>
        <w:ind w:left="4980" w:hanging="360"/>
      </w:pPr>
      <w:rPr>
        <w:rFonts w:hint="default" w:ascii="Courier New" w:hAnsi="Courier New" w:cs="Courier New"/>
      </w:rPr>
    </w:lvl>
    <w:lvl w:ilvl="8" w:tentative="0">
      <w:start w:val="1"/>
      <w:numFmt w:val="bullet"/>
      <w:lvlText w:val=""/>
      <w:lvlJc w:val="left"/>
      <w:pPr>
        <w:tabs>
          <w:tab w:val="left" w:pos="-420"/>
        </w:tabs>
        <w:ind w:left="5700" w:hanging="360"/>
      </w:pPr>
      <w:rPr>
        <w:rFonts w:hint="default" w:ascii="Wingdings" w:hAnsi="Wingdings"/>
      </w:rPr>
    </w:lvl>
  </w:abstractNum>
  <w:abstractNum w:abstractNumId="8">
    <w:nsid w:val="5B46ABCE"/>
    <w:multiLevelType w:val="singleLevel"/>
    <w:tmpl w:val="5B46ABCE"/>
    <w:lvl w:ilvl="0" w:tentative="0">
      <w:start w:val="1"/>
      <w:numFmt w:val="bullet"/>
      <w:lvlText w:val=""/>
      <w:lvlJc w:val="left"/>
      <w:pPr>
        <w:ind w:left="420" w:hanging="420"/>
      </w:pPr>
      <w:rPr>
        <w:rFonts w:hint="default" w:ascii="Wingdings" w:hAnsi="Wingdings"/>
      </w:rPr>
    </w:lvl>
  </w:abstractNum>
  <w:abstractNum w:abstractNumId="9">
    <w:nsid w:val="626A3CEE"/>
    <w:multiLevelType w:val="multilevel"/>
    <w:tmpl w:val="626A3C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688A35D6"/>
    <w:multiLevelType w:val="multilevel"/>
    <w:tmpl w:val="688A35D6"/>
    <w:lvl w:ilvl="0" w:tentative="0">
      <w:start w:val="1"/>
      <w:numFmt w:val="decimal"/>
      <w:pStyle w:val="105"/>
      <w:lvlText w:val="%1."/>
      <w:lvlJc w:val="left"/>
      <w:pPr>
        <w:tabs>
          <w:tab w:val="left" w:pos="397"/>
        </w:tabs>
        <w:ind w:left="397" w:hanging="397"/>
      </w:pPr>
      <w:rPr>
        <w:rFonts w:hint="default" w:ascii="Arial" w:hAnsi="Arial" w:cs="Times New Roman"/>
        <w:b w:val="0"/>
        <w:i w:val="0"/>
        <w:color w:val="D2232A"/>
        <w:sz w:val="20"/>
      </w:rPr>
    </w:lvl>
    <w:lvl w:ilvl="1" w:tentative="0">
      <w:start w:val="1"/>
      <w:numFmt w:val="lowerLetter"/>
      <w:lvlText w:val="%2)"/>
      <w:lvlJc w:val="left"/>
      <w:pPr>
        <w:tabs>
          <w:tab w:val="left" w:pos="397"/>
        </w:tabs>
        <w:ind w:left="737" w:hanging="340"/>
      </w:pPr>
      <w:rPr>
        <w:rFonts w:hint="default" w:ascii="Arial" w:hAnsi="Arial" w:cs="Times New Roman"/>
        <w:b w:val="0"/>
        <w:i w:val="0"/>
        <w:color w:val="D2232A"/>
        <w:sz w:val="20"/>
      </w:rPr>
    </w:lvl>
    <w:lvl w:ilvl="2" w:tentative="0">
      <w:start w:val="1"/>
      <w:numFmt w:val="none"/>
      <w:lvlText w:val=""/>
      <w:lvlJc w:val="left"/>
      <w:pPr>
        <w:tabs>
          <w:tab w:val="left" w:pos="720"/>
        </w:tabs>
        <w:ind w:left="720" w:hanging="720"/>
      </w:pPr>
      <w:rPr>
        <w:rFonts w:hint="default" w:ascii="Arial Bold" w:hAnsi="Arial Bold" w:cs="Times New Roman"/>
        <w:b/>
        <w:i w:val="0"/>
        <w:sz w:val="20"/>
      </w:rPr>
    </w:lvl>
    <w:lvl w:ilvl="3" w:tentative="0">
      <w:start w:val="1"/>
      <w:numFmt w:val="none"/>
      <w:lvlText w:val=""/>
      <w:lvlJc w:val="left"/>
      <w:pPr>
        <w:tabs>
          <w:tab w:val="left" w:pos="864"/>
        </w:tabs>
        <w:ind w:left="864" w:hanging="864"/>
      </w:pPr>
      <w:rPr>
        <w:rFonts w:hint="default" w:ascii="Arial" w:hAnsi="Arial" w:cs="Times New Roman"/>
        <w:b w:val="0"/>
        <w:i/>
        <w:color w:val="2F2E79"/>
        <w:sz w:val="20"/>
      </w:rPr>
    </w:lvl>
    <w:lvl w:ilvl="4" w:tentative="0">
      <w:start w:val="1"/>
      <w:numFmt w:val="none"/>
      <w:lvlText w:val=""/>
      <w:lvlJc w:val="left"/>
      <w:pPr>
        <w:tabs>
          <w:tab w:val="left" w:pos="1008"/>
        </w:tabs>
        <w:ind w:left="1008" w:hanging="1008"/>
      </w:pPr>
      <w:rPr>
        <w:rFonts w:hint="default" w:cs="Times New Roman"/>
        <w:sz w:val="24"/>
      </w:rPr>
    </w:lvl>
    <w:lvl w:ilvl="5" w:tentative="0">
      <w:start w:val="1"/>
      <w:numFmt w:val="none"/>
      <w:lvlText w:val=""/>
      <w:lvlJc w:val="left"/>
      <w:pPr>
        <w:tabs>
          <w:tab w:val="left" w:pos="1152"/>
        </w:tabs>
        <w:ind w:left="1152" w:hanging="1152"/>
      </w:pPr>
      <w:rPr>
        <w:rFonts w:hint="default" w:cs="Times New Roman"/>
      </w:rPr>
    </w:lvl>
    <w:lvl w:ilvl="6" w:tentative="0">
      <w:start w:val="1"/>
      <w:numFmt w:val="none"/>
      <w:lvlText w:val=""/>
      <w:lvlJc w:val="left"/>
      <w:pPr>
        <w:tabs>
          <w:tab w:val="left" w:pos="1296"/>
        </w:tabs>
        <w:ind w:left="1296" w:hanging="1296"/>
      </w:pPr>
      <w:rPr>
        <w:rFonts w:hint="default" w:cs="Times New Roman"/>
      </w:rPr>
    </w:lvl>
    <w:lvl w:ilvl="7" w:tentative="0">
      <w:start w:val="1"/>
      <w:numFmt w:val="none"/>
      <w:lvlText w:val=""/>
      <w:lvlJc w:val="left"/>
      <w:pPr>
        <w:tabs>
          <w:tab w:val="left" w:pos="1440"/>
        </w:tabs>
        <w:ind w:left="1440" w:hanging="1440"/>
      </w:pPr>
      <w:rPr>
        <w:rFonts w:hint="default" w:cs="Times New Roman"/>
      </w:rPr>
    </w:lvl>
    <w:lvl w:ilvl="8" w:tentative="0">
      <w:start w:val="1"/>
      <w:numFmt w:val="none"/>
      <w:lvlText w:val=""/>
      <w:lvlJc w:val="left"/>
      <w:pPr>
        <w:tabs>
          <w:tab w:val="left" w:pos="1584"/>
        </w:tabs>
        <w:ind w:left="1584" w:hanging="1584"/>
      </w:pPr>
      <w:rPr>
        <w:rFonts w:hint="default" w:cs="Times New Roman"/>
      </w:rPr>
    </w:lvl>
  </w:abstractNum>
  <w:abstractNum w:abstractNumId="11">
    <w:nsid w:val="793EDF79"/>
    <w:multiLevelType w:val="singleLevel"/>
    <w:tmpl w:val="793EDF79"/>
    <w:lvl w:ilvl="0" w:tentative="0">
      <w:start w:val="1"/>
      <w:numFmt w:val="bullet"/>
      <w:lvlText w:val=""/>
      <w:lvlJc w:val="left"/>
      <w:pPr>
        <w:ind w:left="420" w:hanging="420"/>
      </w:pPr>
      <w:rPr>
        <w:rFonts w:hint="default" w:ascii="Wingdings" w:hAnsi="Wingdings"/>
      </w:rPr>
    </w:lvl>
  </w:abstractNum>
  <w:abstractNum w:abstractNumId="12">
    <w:nsid w:val="7A8247FE"/>
    <w:multiLevelType w:val="multilevel"/>
    <w:tmpl w:val="7A8247F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num w:numId="1">
    <w:abstractNumId w:val="10"/>
  </w:num>
  <w:num w:numId="2">
    <w:abstractNumId w:val="5"/>
  </w:num>
  <w:num w:numId="3">
    <w:abstractNumId w:val="4"/>
  </w:num>
  <w:num w:numId="4">
    <w:abstractNumId w:val="6"/>
  </w:num>
  <w:num w:numId="5">
    <w:abstractNumId w:val="1"/>
  </w:num>
  <w:num w:numId="6">
    <w:abstractNumId w:val="3"/>
  </w:num>
  <w:num w:numId="7">
    <w:abstractNumId w:val="11"/>
  </w:num>
  <w:num w:numId="8">
    <w:abstractNumId w:val="9"/>
  </w:num>
  <w:num w:numId="9">
    <w:abstractNumId w:val="7"/>
  </w:num>
  <w:num w:numId="10">
    <w:abstractNumId w:val="2"/>
  </w:num>
  <w:num w:numId="11">
    <w:abstractNumId w:val="8"/>
  </w:num>
  <w:num w:numId="12">
    <w:abstractNumId w:val="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removePersonalInformation/>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36AE"/>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40"/>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30"/>
    <w:qFormat/>
    <w:uiPriority w:val="0"/>
    <w:pPr>
      <w:pBdr>
        <w:top w:val="none" w:color="auto" w:sz="0" w:space="0"/>
      </w:pBdr>
      <w:spacing w:before="180"/>
      <w:outlineLvl w:val="1"/>
    </w:pPr>
    <w:rPr>
      <w:sz w:val="32"/>
    </w:rPr>
  </w:style>
  <w:style w:type="paragraph" w:styleId="4">
    <w:name w:val="heading 3"/>
    <w:basedOn w:val="3"/>
    <w:next w:val="1"/>
    <w:link w:val="131"/>
    <w:qFormat/>
    <w:uiPriority w:val="9"/>
    <w:pPr>
      <w:spacing w:before="120"/>
      <w:outlineLvl w:val="2"/>
    </w:pPr>
    <w:rPr>
      <w:sz w:val="28"/>
    </w:rPr>
  </w:style>
  <w:style w:type="paragraph" w:styleId="5">
    <w:name w:val="heading 4"/>
    <w:basedOn w:val="4"/>
    <w:next w:val="1"/>
    <w:link w:val="132"/>
    <w:qFormat/>
    <w:uiPriority w:val="0"/>
    <w:pPr>
      <w:ind w:left="1418" w:hanging="1418"/>
      <w:outlineLvl w:val="3"/>
    </w:pPr>
    <w:rPr>
      <w:sz w:val="24"/>
    </w:rPr>
  </w:style>
  <w:style w:type="paragraph" w:styleId="6">
    <w:name w:val="heading 5"/>
    <w:basedOn w:val="1"/>
    <w:next w:val="1"/>
    <w:link w:val="141"/>
    <w:qFormat/>
    <w:uiPriority w:val="9"/>
    <w:pPr>
      <w:ind w:left="1701" w:hanging="1701"/>
      <w:outlineLvl w:val="4"/>
    </w:pPr>
    <w:rPr>
      <w:sz w:val="22"/>
    </w:rPr>
  </w:style>
  <w:style w:type="paragraph" w:styleId="7">
    <w:name w:val="heading 6"/>
    <w:basedOn w:val="1"/>
    <w:next w:val="1"/>
    <w:link w:val="153"/>
    <w:qFormat/>
    <w:uiPriority w:val="0"/>
    <w:pPr>
      <w:outlineLvl w:val="5"/>
    </w:pPr>
  </w:style>
  <w:style w:type="paragraph" w:styleId="8">
    <w:name w:val="heading 7"/>
    <w:basedOn w:val="9"/>
    <w:next w:val="1"/>
    <w:link w:val="154"/>
    <w:qFormat/>
    <w:uiPriority w:val="0"/>
    <w:pPr>
      <w:outlineLvl w:val="6"/>
    </w:pPr>
  </w:style>
  <w:style w:type="paragraph" w:styleId="10">
    <w:name w:val="heading 8"/>
    <w:basedOn w:val="2"/>
    <w:next w:val="1"/>
    <w:link w:val="155"/>
    <w:qFormat/>
    <w:uiPriority w:val="0"/>
    <w:pPr>
      <w:ind w:left="0" w:firstLine="0"/>
      <w:outlineLvl w:val="7"/>
    </w:pPr>
  </w:style>
  <w:style w:type="paragraph" w:styleId="11">
    <w:name w:val="heading 9"/>
    <w:basedOn w:val="10"/>
    <w:next w:val="1"/>
    <w:link w:val="156"/>
    <w:qFormat/>
    <w:uiPriority w:val="0"/>
    <w:pPr>
      <w:outlineLvl w:val="8"/>
    </w:pPr>
  </w:style>
  <w:style w:type="character" w:default="1" w:styleId="51">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9">
    <w:name w:val="H6"/>
    <w:basedOn w:val="6"/>
    <w:next w:val="1"/>
    <w:link w:val="127"/>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5"/>
    <w:qFormat/>
    <w:uiPriority w:val="0"/>
    <w:pPr>
      <w:spacing w:before="120" w:after="120"/>
    </w:pPr>
    <w:rPr>
      <w:b/>
    </w:rPr>
  </w:style>
  <w:style w:type="paragraph" w:styleId="29">
    <w:name w:val="Document Map"/>
    <w:basedOn w:val="1"/>
    <w:link w:val="157"/>
    <w:semiHidden/>
    <w:qFormat/>
    <w:uiPriority w:val="0"/>
    <w:pPr>
      <w:shd w:val="clear" w:color="auto" w:fill="000080"/>
    </w:pPr>
    <w:rPr>
      <w:rFonts w:ascii="Tahoma" w:hAnsi="Tahoma"/>
    </w:rPr>
  </w:style>
  <w:style w:type="paragraph" w:styleId="30">
    <w:name w:val="annotation text"/>
    <w:basedOn w:val="1"/>
    <w:link w:val="117"/>
    <w:qFormat/>
    <w:uiPriority w:val="99"/>
  </w:style>
  <w:style w:type="paragraph" w:styleId="31">
    <w:name w:val="Body Text"/>
    <w:basedOn w:val="1"/>
    <w:link w:val="145"/>
    <w:qFormat/>
    <w:uiPriority w:val="0"/>
  </w:style>
  <w:style w:type="paragraph" w:styleId="32">
    <w:name w:val="Body Text Indent"/>
    <w:basedOn w:val="1"/>
    <w:link w:val="121"/>
    <w:qFormat/>
    <w:uiPriority w:val="0"/>
    <w:pPr>
      <w:spacing w:after="120"/>
      <w:ind w:left="283"/>
    </w:pPr>
  </w:style>
  <w:style w:type="paragraph" w:styleId="33">
    <w:name w:val="Plain Text"/>
    <w:basedOn w:val="1"/>
    <w:link w:val="103"/>
    <w:qFormat/>
    <w:uiPriority w:val="99"/>
    <w:rPr>
      <w:rFonts w:ascii="Courier New" w:hAnsi="Courier New"/>
      <w:lang w:val="nb-NO"/>
    </w:rPr>
  </w:style>
  <w:style w:type="paragraph" w:styleId="34">
    <w:name w:val="List Bullet 5"/>
    <w:basedOn w:val="24"/>
    <w:qFormat/>
    <w:uiPriority w:val="0"/>
    <w:pPr>
      <w:ind w:left="1702"/>
    </w:pPr>
  </w:style>
  <w:style w:type="paragraph" w:styleId="35">
    <w:name w:val="toc 8"/>
    <w:basedOn w:val="21"/>
    <w:next w:val="1"/>
    <w:qFormat/>
    <w:uiPriority w:val="0"/>
    <w:pPr>
      <w:spacing w:before="180"/>
      <w:ind w:left="2693" w:hanging="2693"/>
    </w:pPr>
    <w:rPr>
      <w:b/>
    </w:rPr>
  </w:style>
  <w:style w:type="paragraph" w:styleId="36">
    <w:name w:val="Balloon Text"/>
    <w:basedOn w:val="1"/>
    <w:link w:val="115"/>
    <w:qFormat/>
    <w:uiPriority w:val="0"/>
    <w:pPr>
      <w:spacing w:after="0"/>
    </w:pPr>
    <w:rPr>
      <w:rFonts w:ascii="Tahoma" w:hAnsi="Tahoma"/>
      <w:sz w:val="16"/>
      <w:szCs w:val="16"/>
    </w:rPr>
  </w:style>
  <w:style w:type="paragraph" w:styleId="37">
    <w:name w:val="footer"/>
    <w:basedOn w:val="38"/>
    <w:link w:val="143"/>
    <w:qFormat/>
    <w:uiPriority w:val="0"/>
    <w:pPr>
      <w:jc w:val="center"/>
    </w:pPr>
    <w:rPr>
      <w:i/>
    </w:rPr>
  </w:style>
  <w:style w:type="paragraph" w:styleId="38">
    <w:name w:val="header"/>
    <w:link w:val="129"/>
    <w:qFormat/>
    <w:uiPriority w:val="99"/>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04"/>
    <w:semiHidden/>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oc 9"/>
    <w:basedOn w:val="35"/>
    <w:next w:val="1"/>
    <w:qFormat/>
    <w:uiPriority w:val="0"/>
    <w:pPr>
      <w:ind w:left="1418" w:hanging="1418"/>
    </w:pPr>
  </w:style>
  <w:style w:type="paragraph" w:styleId="44">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45">
    <w:name w:val="index 1"/>
    <w:basedOn w:val="1"/>
    <w:next w:val="1"/>
    <w:semiHidden/>
    <w:qFormat/>
    <w:uiPriority w:val="0"/>
    <w:pPr>
      <w:keepLines/>
      <w:spacing w:after="0"/>
    </w:pPr>
  </w:style>
  <w:style w:type="paragraph" w:styleId="46">
    <w:name w:val="index 2"/>
    <w:basedOn w:val="45"/>
    <w:next w:val="1"/>
    <w:semiHidden/>
    <w:qFormat/>
    <w:uiPriority w:val="0"/>
    <w:pPr>
      <w:ind w:left="284"/>
    </w:pPr>
  </w:style>
  <w:style w:type="paragraph" w:styleId="47">
    <w:name w:val="Title"/>
    <w:basedOn w:val="1"/>
    <w:next w:val="1"/>
    <w:link w:val="128"/>
    <w:qFormat/>
    <w:uiPriority w:val="0"/>
    <w:pPr>
      <w:spacing w:before="240" w:after="60"/>
      <w:jc w:val="center"/>
      <w:outlineLvl w:val="0"/>
    </w:pPr>
    <w:rPr>
      <w:rFonts w:ascii="Calibri Light" w:hAnsi="Calibri Light"/>
      <w:b/>
      <w:bCs/>
      <w:kern w:val="28"/>
      <w:sz w:val="32"/>
      <w:szCs w:val="32"/>
    </w:rPr>
  </w:style>
  <w:style w:type="paragraph" w:styleId="48">
    <w:name w:val="annotation subject"/>
    <w:basedOn w:val="30"/>
    <w:next w:val="30"/>
    <w:link w:val="118"/>
    <w:qFormat/>
    <w:uiPriority w:val="0"/>
    <w:rPr>
      <w:b/>
      <w:bCs/>
    </w:rPr>
  </w:style>
  <w:style w:type="table" w:styleId="50">
    <w:name w:val="Table Grid"/>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basedOn w:val="51"/>
    <w:qFormat/>
    <w:uiPriority w:val="0"/>
    <w:rPr>
      <w:b/>
      <w:bCs/>
    </w:rPr>
  </w:style>
  <w:style w:type="character" w:styleId="53">
    <w:name w:val="page number"/>
    <w:basedOn w:val="51"/>
    <w:qFormat/>
    <w:uiPriority w:val="0"/>
  </w:style>
  <w:style w:type="character" w:styleId="54">
    <w:name w:val="Emphasis"/>
    <w:qFormat/>
    <w:uiPriority w:val="0"/>
    <w:rPr>
      <w:i/>
      <w:iCs/>
    </w:rPr>
  </w:style>
  <w:style w:type="character" w:styleId="55">
    <w:name w:val="Hyperlink"/>
    <w:qFormat/>
    <w:uiPriority w:val="99"/>
    <w:rPr>
      <w:color w:val="0000FF"/>
      <w:u w:val="single"/>
    </w:rPr>
  </w:style>
  <w:style w:type="character" w:styleId="56">
    <w:name w:val="annotation reference"/>
    <w:qFormat/>
    <w:uiPriority w:val="99"/>
    <w:rPr>
      <w:sz w:val="16"/>
    </w:rPr>
  </w:style>
  <w:style w:type="character" w:styleId="57">
    <w:name w:val="footnote reference"/>
    <w:basedOn w:val="51"/>
    <w:semiHidden/>
    <w:qFormat/>
    <w:uiPriority w:val="0"/>
    <w:rPr>
      <w:b/>
      <w:position w:val="6"/>
      <w:sz w:val="16"/>
    </w:rPr>
  </w:style>
  <w:style w:type="paragraph" w:customStyle="1" w:styleId="58">
    <w:name w:val="EQ"/>
    <w:basedOn w:val="1"/>
    <w:next w:val="1"/>
    <w:link w:val="136"/>
    <w:qFormat/>
    <w:uiPriority w:val="0"/>
    <w:pPr>
      <w:keepLines/>
      <w:tabs>
        <w:tab w:val="center" w:pos="4536"/>
        <w:tab w:val="right" w:pos="9072"/>
      </w:tabs>
    </w:pPr>
  </w:style>
  <w:style w:type="character" w:customStyle="1" w:styleId="59">
    <w:name w:val="ZGSM"/>
    <w:qFormat/>
    <w:uiPriority w:val="0"/>
  </w:style>
  <w:style w:type="paragraph" w:customStyle="1" w:styleId="60">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61">
    <w:name w:val="TT"/>
    <w:basedOn w:val="2"/>
    <w:next w:val="1"/>
    <w:qFormat/>
    <w:uiPriority w:val="0"/>
    <w:pPr>
      <w:outlineLvl w:val="9"/>
    </w:pPr>
  </w:style>
  <w:style w:type="paragraph" w:customStyle="1" w:styleId="62">
    <w:name w:val="NF"/>
    <w:basedOn w:val="63"/>
    <w:qFormat/>
    <w:uiPriority w:val="0"/>
    <w:pPr>
      <w:keepNext/>
      <w:spacing w:after="0"/>
    </w:pPr>
    <w:rPr>
      <w:rFonts w:ascii="Arial" w:hAnsi="Arial"/>
      <w:sz w:val="18"/>
    </w:rPr>
  </w:style>
  <w:style w:type="paragraph" w:customStyle="1" w:styleId="63">
    <w:name w:val="NO"/>
    <w:basedOn w:val="1"/>
    <w:link w:val="137"/>
    <w:qFormat/>
    <w:uiPriority w:val="0"/>
    <w:pPr>
      <w:keepLines/>
      <w:ind w:left="1135" w:hanging="851"/>
    </w:p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5">
    <w:name w:val="TAR"/>
    <w:basedOn w:val="66"/>
    <w:qFormat/>
    <w:uiPriority w:val="0"/>
    <w:pPr>
      <w:jc w:val="right"/>
    </w:pPr>
  </w:style>
  <w:style w:type="paragraph" w:customStyle="1" w:styleId="66">
    <w:name w:val="TAL"/>
    <w:basedOn w:val="1"/>
    <w:link w:val="109"/>
    <w:qFormat/>
    <w:uiPriority w:val="0"/>
    <w:pPr>
      <w:keepNext/>
      <w:keepLines/>
      <w:spacing w:after="0"/>
    </w:pPr>
    <w:rPr>
      <w:rFonts w:ascii="Arial" w:hAnsi="Arial"/>
      <w:sz w:val="18"/>
    </w:rPr>
  </w:style>
  <w:style w:type="paragraph" w:customStyle="1" w:styleId="67">
    <w:name w:val="TAH"/>
    <w:basedOn w:val="68"/>
    <w:link w:val="102"/>
    <w:qFormat/>
    <w:uiPriority w:val="0"/>
    <w:rPr>
      <w:b/>
    </w:rPr>
  </w:style>
  <w:style w:type="paragraph" w:customStyle="1" w:styleId="68">
    <w:name w:val="TAC"/>
    <w:basedOn w:val="66"/>
    <w:link w:val="101"/>
    <w:qFormat/>
    <w:uiPriority w:val="0"/>
    <w:pPr>
      <w:jc w:val="center"/>
    </w:pPr>
  </w:style>
  <w:style w:type="paragraph" w:customStyle="1" w:styleId="6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70">
    <w:name w:val="EX"/>
    <w:basedOn w:val="1"/>
    <w:qFormat/>
    <w:uiPriority w:val="0"/>
    <w:pPr>
      <w:keepLines/>
      <w:ind w:left="1702" w:hanging="1418"/>
    </w:pPr>
  </w:style>
  <w:style w:type="paragraph" w:customStyle="1" w:styleId="71">
    <w:name w:val="FP"/>
    <w:basedOn w:val="1"/>
    <w:qFormat/>
    <w:uiPriority w:val="0"/>
    <w:pPr>
      <w:spacing w:after="0"/>
    </w:pPr>
  </w:style>
  <w:style w:type="paragraph" w:customStyle="1" w:styleId="72">
    <w:name w:val="NW"/>
    <w:basedOn w:val="63"/>
    <w:qFormat/>
    <w:uiPriority w:val="0"/>
    <w:pPr>
      <w:spacing w:after="0"/>
    </w:pPr>
  </w:style>
  <w:style w:type="paragraph" w:customStyle="1" w:styleId="73">
    <w:name w:val="EW"/>
    <w:basedOn w:val="70"/>
    <w:qFormat/>
    <w:uiPriority w:val="0"/>
    <w:pPr>
      <w:spacing w:after="0"/>
    </w:pPr>
  </w:style>
  <w:style w:type="paragraph" w:customStyle="1" w:styleId="74">
    <w:name w:val="B1"/>
    <w:basedOn w:val="14"/>
    <w:link w:val="122"/>
    <w:qFormat/>
    <w:uiPriority w:val="0"/>
  </w:style>
  <w:style w:type="paragraph" w:customStyle="1" w:styleId="75">
    <w:name w:val="Editor's Note"/>
    <w:basedOn w:val="63"/>
    <w:qFormat/>
    <w:uiPriority w:val="0"/>
    <w:rPr>
      <w:color w:val="FF0000"/>
    </w:rPr>
  </w:style>
  <w:style w:type="paragraph" w:customStyle="1" w:styleId="76">
    <w:name w:val="TH"/>
    <w:basedOn w:val="1"/>
    <w:link w:val="110"/>
    <w:qFormat/>
    <w:uiPriority w:val="0"/>
    <w:pPr>
      <w:keepNext/>
      <w:keepLines/>
      <w:spacing w:before="60"/>
      <w:jc w:val="center"/>
    </w:pPr>
    <w:rPr>
      <w:rFonts w:ascii="Arial" w:hAnsi="Arial"/>
      <w:b/>
    </w:rPr>
  </w:style>
  <w:style w:type="paragraph" w:customStyle="1" w:styleId="7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8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TAN"/>
    <w:basedOn w:val="66"/>
    <w:link w:val="111"/>
    <w:qFormat/>
    <w:uiPriority w:val="0"/>
    <w:pPr>
      <w:ind w:left="851" w:hanging="851"/>
    </w:pPr>
  </w:style>
  <w:style w:type="paragraph" w:customStyle="1" w:styleId="82">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83">
    <w:name w:val="TF"/>
    <w:basedOn w:val="76"/>
    <w:qFormat/>
    <w:uiPriority w:val="0"/>
    <w:pPr>
      <w:keepNext w:val="0"/>
      <w:spacing w:before="0" w:after="240"/>
    </w:pPr>
  </w:style>
  <w:style w:type="paragraph" w:customStyle="1" w:styleId="84">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5">
    <w:name w:val="B2"/>
    <w:basedOn w:val="13"/>
    <w:link w:val="116"/>
    <w:qFormat/>
    <w:uiPriority w:val="0"/>
  </w:style>
  <w:style w:type="paragraph" w:customStyle="1" w:styleId="86">
    <w:name w:val="B3"/>
    <w:basedOn w:val="12"/>
    <w:qFormat/>
    <w:uiPriority w:val="0"/>
  </w:style>
  <w:style w:type="paragraph" w:customStyle="1" w:styleId="87">
    <w:name w:val="B4"/>
    <w:basedOn w:val="42"/>
    <w:qFormat/>
    <w:uiPriority w:val="0"/>
  </w:style>
  <w:style w:type="paragraph" w:customStyle="1" w:styleId="88">
    <w:name w:val="B5"/>
    <w:basedOn w:val="41"/>
    <w:qFormat/>
    <w:uiPriority w:val="0"/>
  </w:style>
  <w:style w:type="paragraph" w:customStyle="1" w:styleId="89">
    <w:name w:val="ZTD"/>
    <w:basedOn w:val="78"/>
    <w:qFormat/>
    <w:uiPriority w:val="0"/>
    <w:pPr>
      <w:framePr w:hRule="auto" w:y="852"/>
    </w:pPr>
    <w:rPr>
      <w:i w:val="0"/>
      <w:sz w:val="40"/>
    </w:rPr>
  </w:style>
  <w:style w:type="paragraph" w:customStyle="1" w:styleId="90">
    <w:name w:val="ZV"/>
    <w:basedOn w:val="80"/>
    <w:qFormat/>
    <w:uiPriority w:val="0"/>
    <w:pPr>
      <w:framePr w:y="16161"/>
    </w:pPr>
  </w:style>
  <w:style w:type="paragraph" w:customStyle="1" w:styleId="91">
    <w:name w:val="INDENT1"/>
    <w:basedOn w:val="1"/>
    <w:qFormat/>
    <w:uiPriority w:val="0"/>
    <w:pPr>
      <w:ind w:left="851"/>
    </w:pPr>
  </w:style>
  <w:style w:type="paragraph" w:customStyle="1" w:styleId="92">
    <w:name w:val="INDENT2"/>
    <w:basedOn w:val="1"/>
    <w:qFormat/>
    <w:uiPriority w:val="0"/>
    <w:pPr>
      <w:ind w:left="1135" w:hanging="284"/>
    </w:pPr>
  </w:style>
  <w:style w:type="paragraph" w:customStyle="1" w:styleId="93">
    <w:name w:val="INDENT3"/>
    <w:basedOn w:val="1"/>
    <w:qFormat/>
    <w:uiPriority w:val="0"/>
    <w:pPr>
      <w:ind w:left="1701" w:hanging="567"/>
    </w:pPr>
  </w:style>
  <w:style w:type="paragraph" w:customStyle="1" w:styleId="94">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5">
    <w:name w:val="Rec_CCITT_#"/>
    <w:basedOn w:val="1"/>
    <w:qFormat/>
    <w:uiPriority w:val="0"/>
    <w:pPr>
      <w:keepNext/>
      <w:keepLines/>
    </w:pPr>
    <w:rPr>
      <w:b/>
    </w:rPr>
  </w:style>
  <w:style w:type="paragraph" w:customStyle="1" w:styleId="96">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7">
    <w:name w:val="Couv Rec Title"/>
    <w:basedOn w:val="1"/>
    <w:qFormat/>
    <w:uiPriority w:val="0"/>
    <w:pPr>
      <w:keepNext/>
      <w:keepLines/>
      <w:spacing w:before="240"/>
      <w:ind w:left="1418"/>
    </w:pPr>
    <w:rPr>
      <w:rFonts w:ascii="Arial" w:hAnsi="Arial"/>
      <w:b/>
      <w:sz w:val="36"/>
      <w:lang w:val="en-US"/>
    </w:rPr>
  </w:style>
  <w:style w:type="character" w:customStyle="1" w:styleId="98">
    <w:name w:val="访问过的超链接1"/>
    <w:qFormat/>
    <w:uiPriority w:val="0"/>
    <w:rPr>
      <w:color w:val="800080"/>
      <w:u w:val="single"/>
    </w:rPr>
  </w:style>
  <w:style w:type="paragraph" w:customStyle="1" w:styleId="99">
    <w:name w:val="TAJ"/>
    <w:basedOn w:val="76"/>
    <w:qFormat/>
    <w:uiPriority w:val="0"/>
  </w:style>
  <w:style w:type="paragraph" w:customStyle="1" w:styleId="100">
    <w:name w:val="Guidance"/>
    <w:basedOn w:val="1"/>
    <w:link w:val="135"/>
    <w:qFormat/>
    <w:uiPriority w:val="0"/>
    <w:rPr>
      <w:i/>
      <w:color w:val="0000FF"/>
    </w:rPr>
  </w:style>
  <w:style w:type="character" w:customStyle="1" w:styleId="101">
    <w:name w:val="TAC Char"/>
    <w:link w:val="68"/>
    <w:qFormat/>
    <w:uiPriority w:val="0"/>
    <w:rPr>
      <w:rFonts w:ascii="Arial" w:hAnsi="Arial" w:eastAsia="Times New Roman"/>
      <w:sz w:val="18"/>
      <w:lang w:val="en-GB" w:eastAsia="en-GB"/>
    </w:rPr>
  </w:style>
  <w:style w:type="character" w:customStyle="1" w:styleId="102">
    <w:name w:val="TAH Car"/>
    <w:link w:val="67"/>
    <w:qFormat/>
    <w:uiPriority w:val="0"/>
    <w:rPr>
      <w:rFonts w:ascii="Arial" w:hAnsi="Arial" w:eastAsia="Times New Roman"/>
      <w:b/>
      <w:sz w:val="18"/>
      <w:lang w:val="en-GB" w:eastAsia="en-GB"/>
    </w:rPr>
  </w:style>
  <w:style w:type="character" w:customStyle="1" w:styleId="103">
    <w:name w:val="Plain Text Char"/>
    <w:link w:val="33"/>
    <w:qFormat/>
    <w:uiPriority w:val="99"/>
    <w:rPr>
      <w:rFonts w:ascii="Courier New" w:hAnsi="Courier New"/>
      <w:lang w:val="nb-NO"/>
    </w:rPr>
  </w:style>
  <w:style w:type="character" w:customStyle="1" w:styleId="104">
    <w:name w:val="Footnote Text Char"/>
    <w:link w:val="40"/>
    <w:semiHidden/>
    <w:qFormat/>
    <w:locked/>
    <w:uiPriority w:val="0"/>
    <w:rPr>
      <w:rFonts w:eastAsia="Times New Roman"/>
      <w:sz w:val="16"/>
      <w:lang w:val="en-GB" w:eastAsia="en-GB"/>
    </w:rPr>
  </w:style>
  <w:style w:type="paragraph" w:customStyle="1" w:styleId="105">
    <w:name w:val="Numbered List"/>
    <w:basedOn w:val="1"/>
    <w:qFormat/>
    <w:uiPriority w:val="99"/>
    <w:pPr>
      <w:numPr>
        <w:ilvl w:val="0"/>
        <w:numId w:val="1"/>
      </w:numPr>
      <w:tabs>
        <w:tab w:val="left" w:pos="360"/>
        <w:tab w:val="clear" w:pos="397"/>
      </w:tabs>
      <w:spacing w:after="240"/>
      <w:ind w:left="0" w:firstLine="0"/>
      <w:jc w:val="both"/>
    </w:pPr>
    <w:rPr>
      <w:rFonts w:ascii="Arial" w:hAnsi="Arial" w:eastAsia="Calibri"/>
      <w:szCs w:val="24"/>
      <w:lang w:eastAsia="zh-CN"/>
    </w:rPr>
  </w:style>
  <w:style w:type="paragraph" w:styleId="106">
    <w:name w:val="List Paragraph"/>
    <w:basedOn w:val="1"/>
    <w:link w:val="133"/>
    <w:qFormat/>
    <w:uiPriority w:val="34"/>
    <w:pPr>
      <w:spacing w:after="0"/>
      <w:ind w:left="720"/>
      <w:contextualSpacing/>
    </w:pPr>
    <w:rPr>
      <w:rFonts w:ascii="Helvetica 55 Roman" w:hAnsi="Helvetica 55 Roman" w:eastAsia="Calibri"/>
      <w:szCs w:val="24"/>
      <w:lang w:val="fr-FR" w:eastAsia="zh-CN"/>
    </w:rPr>
  </w:style>
  <w:style w:type="paragraph" w:customStyle="1" w:styleId="107">
    <w:name w:val="tah"/>
    <w:basedOn w:val="1"/>
    <w:semiHidden/>
    <w:qFormat/>
    <w:uiPriority w:val="99"/>
    <w:pPr>
      <w:spacing w:after="0"/>
      <w:jc w:val="center"/>
    </w:pPr>
    <w:rPr>
      <w:rFonts w:ascii="Arial" w:hAnsi="Arial" w:eastAsia="Calibri" w:cs="Arial"/>
      <w:b/>
      <w:bCs/>
      <w:sz w:val="18"/>
      <w:szCs w:val="18"/>
      <w:lang w:val="fr-FR" w:eastAsia="fr-FR"/>
    </w:rPr>
  </w:style>
  <w:style w:type="paragraph" w:customStyle="1" w:styleId="108">
    <w:name w:val="tac"/>
    <w:basedOn w:val="1"/>
    <w:semiHidden/>
    <w:qFormat/>
    <w:uiPriority w:val="99"/>
    <w:pPr>
      <w:spacing w:after="0"/>
      <w:jc w:val="center"/>
    </w:pPr>
    <w:rPr>
      <w:rFonts w:ascii="Arial" w:hAnsi="Arial" w:eastAsia="Calibri" w:cs="Arial"/>
      <w:sz w:val="18"/>
      <w:szCs w:val="18"/>
      <w:lang w:val="fr-FR" w:eastAsia="fr-FR"/>
    </w:rPr>
  </w:style>
  <w:style w:type="character" w:customStyle="1" w:styleId="109">
    <w:name w:val="TAL Char"/>
    <w:link w:val="66"/>
    <w:qFormat/>
    <w:uiPriority w:val="0"/>
    <w:rPr>
      <w:rFonts w:ascii="Arial" w:hAnsi="Arial" w:eastAsia="Times New Roman"/>
      <w:sz w:val="18"/>
      <w:lang w:val="en-GB" w:eastAsia="en-GB"/>
    </w:rPr>
  </w:style>
  <w:style w:type="character" w:customStyle="1" w:styleId="110">
    <w:name w:val="TH Char"/>
    <w:link w:val="76"/>
    <w:qFormat/>
    <w:uiPriority w:val="0"/>
    <w:rPr>
      <w:rFonts w:ascii="Arial" w:hAnsi="Arial" w:eastAsia="Times New Roman"/>
      <w:b/>
      <w:lang w:val="en-GB" w:eastAsia="en-GB"/>
    </w:rPr>
  </w:style>
  <w:style w:type="character" w:customStyle="1" w:styleId="111">
    <w:name w:val="TAN Char"/>
    <w:link w:val="81"/>
    <w:qFormat/>
    <w:uiPriority w:val="0"/>
    <w:rPr>
      <w:rFonts w:ascii="Arial" w:hAnsi="Arial" w:eastAsia="Times New Roman"/>
      <w:sz w:val="18"/>
      <w:lang w:val="en-GB" w:eastAsia="en-GB"/>
    </w:rPr>
  </w:style>
  <w:style w:type="paragraph" w:customStyle="1" w:styleId="112">
    <w:name w:val="ECC Paragraph"/>
    <w:basedOn w:val="1"/>
    <w:qFormat/>
    <w:uiPriority w:val="99"/>
    <w:pPr>
      <w:spacing w:after="240"/>
      <w:jc w:val="both"/>
    </w:pPr>
    <w:rPr>
      <w:rFonts w:ascii="Arial" w:hAnsi="Arial"/>
      <w:szCs w:val="24"/>
    </w:rPr>
  </w:style>
  <w:style w:type="paragraph" w:customStyle="1" w:styleId="113">
    <w:name w:val="ECC Table title"/>
    <w:basedOn w:val="1"/>
    <w:next w:val="112"/>
    <w:qFormat/>
    <w:uiPriority w:val="0"/>
    <w:pPr>
      <w:spacing w:before="360" w:after="240"/>
      <w:jc w:val="center"/>
    </w:pPr>
    <w:rPr>
      <w:b/>
      <w:szCs w:val="24"/>
    </w:rPr>
  </w:style>
  <w:style w:type="character" w:customStyle="1" w:styleId="114">
    <w:name w:val="TAL Car"/>
    <w:qFormat/>
    <w:uiPriority w:val="0"/>
    <w:rPr>
      <w:rFonts w:ascii="Arial" w:hAnsi="Arial"/>
      <w:sz w:val="18"/>
      <w:lang w:val="en-GB"/>
    </w:rPr>
  </w:style>
  <w:style w:type="character" w:customStyle="1" w:styleId="115">
    <w:name w:val="Balloon Text Char"/>
    <w:link w:val="36"/>
    <w:qFormat/>
    <w:uiPriority w:val="0"/>
    <w:rPr>
      <w:rFonts w:ascii="Tahoma" w:hAnsi="Tahoma" w:cs="Tahoma"/>
      <w:sz w:val="16"/>
      <w:szCs w:val="16"/>
      <w:lang w:val="en-GB" w:eastAsia="en-US"/>
    </w:rPr>
  </w:style>
  <w:style w:type="character" w:customStyle="1" w:styleId="116">
    <w:name w:val="B2 Char"/>
    <w:link w:val="85"/>
    <w:qFormat/>
    <w:locked/>
    <w:uiPriority w:val="0"/>
    <w:rPr>
      <w:rFonts w:eastAsia="Times New Roman"/>
      <w:lang w:val="en-GB" w:eastAsia="en-GB"/>
    </w:rPr>
  </w:style>
  <w:style w:type="character" w:customStyle="1" w:styleId="117">
    <w:name w:val="Comment Text Char"/>
    <w:link w:val="30"/>
    <w:qFormat/>
    <w:uiPriority w:val="99"/>
    <w:rPr>
      <w:lang w:val="en-GB" w:eastAsia="en-US"/>
    </w:rPr>
  </w:style>
  <w:style w:type="character" w:customStyle="1" w:styleId="118">
    <w:name w:val="Comment Subject Char"/>
    <w:link w:val="48"/>
    <w:qFormat/>
    <w:uiPriority w:val="0"/>
    <w:rPr>
      <w:b/>
      <w:bCs/>
      <w:lang w:val="en-GB" w:eastAsia="en-US"/>
    </w:rPr>
  </w:style>
  <w:style w:type="paragraph" w:customStyle="1" w:styleId="119">
    <w:name w:val="Revision1"/>
    <w:hidden/>
    <w:semiHidden/>
    <w:qFormat/>
    <w:uiPriority w:val="99"/>
    <w:rPr>
      <w:rFonts w:ascii="Times New Roman" w:hAnsi="Times New Roman" w:eastAsia="等线" w:cs="Times New Roman"/>
      <w:lang w:val="en-GB" w:eastAsia="en-US" w:bidi="ar-SA"/>
    </w:rPr>
  </w:style>
  <w:style w:type="paragraph" w:customStyle="1" w:styleId="120">
    <w:name w:val="TableText"/>
    <w:basedOn w:val="32"/>
    <w:qFormat/>
    <w:uiPriority w:val="0"/>
    <w:pPr>
      <w:keepNext/>
      <w:keepLines/>
      <w:spacing w:after="180"/>
      <w:ind w:left="0"/>
      <w:jc w:val="center"/>
    </w:pPr>
    <w:rPr>
      <w:snapToGrid w:val="0"/>
      <w:kern w:val="2"/>
    </w:rPr>
  </w:style>
  <w:style w:type="character" w:customStyle="1" w:styleId="121">
    <w:name w:val="Body Text Indent Char"/>
    <w:link w:val="32"/>
    <w:qFormat/>
    <w:uiPriority w:val="0"/>
    <w:rPr>
      <w:lang w:val="en-GB"/>
    </w:rPr>
  </w:style>
  <w:style w:type="character" w:customStyle="1" w:styleId="122">
    <w:name w:val="B1 Char"/>
    <w:link w:val="74"/>
    <w:qFormat/>
    <w:uiPriority w:val="0"/>
    <w:rPr>
      <w:rFonts w:eastAsia="Times New Roman"/>
      <w:lang w:val="en-GB" w:eastAsia="en-GB"/>
    </w:rPr>
  </w:style>
  <w:style w:type="paragraph" w:customStyle="1" w:styleId="123">
    <w:name w:val="Default"/>
    <w:qFormat/>
    <w:uiPriority w:val="0"/>
    <w:pPr>
      <w:autoSpaceDE w:val="0"/>
      <w:autoSpaceDN w:val="0"/>
      <w:adjustRightInd w:val="0"/>
    </w:pPr>
    <w:rPr>
      <w:rFonts w:ascii="Times New Roman" w:hAnsi="Times New Roman" w:eastAsia="Calibri" w:cs="Times New Roman"/>
      <w:color w:val="000000"/>
      <w:sz w:val="24"/>
      <w:szCs w:val="24"/>
      <w:lang w:val="en-US" w:eastAsia="en-US" w:bidi="ar-SA"/>
    </w:rPr>
  </w:style>
  <w:style w:type="character" w:customStyle="1" w:styleId="124">
    <w:name w:val="TAC Car"/>
    <w:qFormat/>
    <w:uiPriority w:val="0"/>
  </w:style>
  <w:style w:type="character" w:customStyle="1" w:styleId="125">
    <w:name w:val="Caption Char"/>
    <w:link w:val="28"/>
    <w:qFormat/>
    <w:uiPriority w:val="0"/>
    <w:rPr>
      <w:b/>
      <w:lang w:val="en-GB"/>
    </w:rPr>
  </w:style>
  <w:style w:type="character" w:customStyle="1" w:styleId="126">
    <w:name w:val="st"/>
    <w:qFormat/>
    <w:uiPriority w:val="0"/>
  </w:style>
  <w:style w:type="character" w:customStyle="1" w:styleId="127">
    <w:name w:val="H6 Char"/>
    <w:link w:val="9"/>
    <w:qFormat/>
    <w:uiPriority w:val="0"/>
    <w:rPr>
      <w:rFonts w:ascii="Arial" w:hAnsi="Arial" w:eastAsia="Times New Roman"/>
      <w:lang w:val="en-GB" w:eastAsia="en-GB"/>
    </w:rPr>
  </w:style>
  <w:style w:type="character" w:customStyle="1" w:styleId="128">
    <w:name w:val="Title Char"/>
    <w:link w:val="47"/>
    <w:qFormat/>
    <w:uiPriority w:val="0"/>
    <w:rPr>
      <w:rFonts w:ascii="Calibri Light" w:hAnsi="Calibri Light" w:eastAsia="Times New Roman" w:cs="Times New Roman"/>
      <w:b/>
      <w:bCs/>
      <w:kern w:val="28"/>
      <w:sz w:val="32"/>
      <w:szCs w:val="32"/>
      <w:lang w:val="en-GB"/>
    </w:rPr>
  </w:style>
  <w:style w:type="character" w:customStyle="1" w:styleId="129">
    <w:name w:val="Header Char"/>
    <w:basedOn w:val="51"/>
    <w:link w:val="38"/>
    <w:qFormat/>
    <w:locked/>
    <w:uiPriority w:val="99"/>
    <w:rPr>
      <w:rFonts w:ascii="Arial" w:hAnsi="Arial" w:eastAsia="Times New Roman"/>
      <w:b/>
      <w:sz w:val="18"/>
      <w:lang w:val="en-GB" w:eastAsia="en-GB"/>
    </w:rPr>
  </w:style>
  <w:style w:type="character" w:customStyle="1" w:styleId="130">
    <w:name w:val="Heading 2 Char"/>
    <w:basedOn w:val="51"/>
    <w:link w:val="3"/>
    <w:qFormat/>
    <w:uiPriority w:val="0"/>
    <w:rPr>
      <w:rFonts w:ascii="Arial" w:hAnsi="Arial" w:eastAsia="Times New Roman"/>
      <w:sz w:val="32"/>
      <w:lang w:val="en-GB" w:eastAsia="en-GB"/>
    </w:rPr>
  </w:style>
  <w:style w:type="character" w:customStyle="1" w:styleId="131">
    <w:name w:val="Heading 3 Char"/>
    <w:basedOn w:val="51"/>
    <w:link w:val="4"/>
    <w:qFormat/>
    <w:uiPriority w:val="9"/>
    <w:rPr>
      <w:rFonts w:ascii="Arial" w:hAnsi="Arial" w:eastAsia="Times New Roman"/>
      <w:sz w:val="28"/>
      <w:lang w:val="en-GB" w:eastAsia="en-GB"/>
    </w:rPr>
  </w:style>
  <w:style w:type="character" w:customStyle="1" w:styleId="132">
    <w:name w:val="Heading 4 Char"/>
    <w:basedOn w:val="51"/>
    <w:link w:val="5"/>
    <w:qFormat/>
    <w:uiPriority w:val="0"/>
    <w:rPr>
      <w:rFonts w:ascii="Arial" w:hAnsi="Arial" w:eastAsia="Times New Roman"/>
      <w:sz w:val="24"/>
      <w:lang w:val="en-GB" w:eastAsia="en-GB"/>
    </w:rPr>
  </w:style>
  <w:style w:type="character" w:customStyle="1" w:styleId="133">
    <w:name w:val="List Paragraph Char"/>
    <w:link w:val="106"/>
    <w:qFormat/>
    <w:uiPriority w:val="34"/>
    <w:rPr>
      <w:rFonts w:ascii="Helvetica 55 Roman" w:hAnsi="Helvetica 55 Roman" w:eastAsia="Calibri"/>
      <w:szCs w:val="24"/>
      <w:lang w:val="fr-FR"/>
    </w:rPr>
  </w:style>
  <w:style w:type="paragraph" w:customStyle="1" w:styleId="134">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135">
    <w:name w:val="Guidance Char"/>
    <w:link w:val="100"/>
    <w:qFormat/>
    <w:uiPriority w:val="0"/>
    <w:rPr>
      <w:i/>
      <w:color w:val="0000FF"/>
      <w:lang w:val="en-GB" w:eastAsia="en-US"/>
    </w:rPr>
  </w:style>
  <w:style w:type="character" w:customStyle="1" w:styleId="136">
    <w:name w:val="EQ Char"/>
    <w:link w:val="58"/>
    <w:qFormat/>
    <w:locked/>
    <w:uiPriority w:val="0"/>
    <w:rPr>
      <w:rFonts w:eastAsia="Times New Roman"/>
      <w:lang w:val="en-GB" w:eastAsia="en-GB"/>
    </w:rPr>
  </w:style>
  <w:style w:type="character" w:customStyle="1" w:styleId="137">
    <w:name w:val="NO Char"/>
    <w:link w:val="63"/>
    <w:qFormat/>
    <w:uiPriority w:val="0"/>
    <w:rPr>
      <w:rFonts w:eastAsia="Times New Roman"/>
      <w:lang w:val="en-GB" w:eastAsia="en-GB"/>
    </w:rPr>
  </w:style>
  <w:style w:type="table" w:customStyle="1" w:styleId="138">
    <w:name w:val="Table Grid25"/>
    <w:basedOn w:val="49"/>
    <w:qFormat/>
    <w:uiPriority w:val="0"/>
    <w:pPr>
      <w:overflowPunct w:val="0"/>
      <w:autoSpaceDE w:val="0"/>
      <w:autoSpaceDN w:val="0"/>
      <w:adjustRightInd w:val="0"/>
      <w:spacing w:after="180"/>
      <w:textAlignment w:val="baseline"/>
    </w:pPr>
    <w:rPr>
      <w:rFonts w:eastAsia="宋体"/>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
    <w:name w:val="网格型1"/>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0">
    <w:name w:val="Heading 1 Char"/>
    <w:basedOn w:val="51"/>
    <w:link w:val="2"/>
    <w:qFormat/>
    <w:uiPriority w:val="0"/>
    <w:rPr>
      <w:rFonts w:ascii="Arial" w:hAnsi="Arial" w:eastAsia="Times New Roman"/>
      <w:sz w:val="36"/>
      <w:lang w:val="en-GB" w:eastAsia="en-GB"/>
    </w:rPr>
  </w:style>
  <w:style w:type="character" w:customStyle="1" w:styleId="141">
    <w:name w:val="Heading 5 Char"/>
    <w:basedOn w:val="51"/>
    <w:link w:val="6"/>
    <w:qFormat/>
    <w:uiPriority w:val="9"/>
    <w:rPr>
      <w:rFonts w:ascii="Arial" w:hAnsi="Arial" w:eastAsia="Times New Roman"/>
      <w:sz w:val="22"/>
      <w:lang w:val="en-GB" w:eastAsia="en-GB"/>
    </w:rPr>
  </w:style>
  <w:style w:type="paragraph" w:customStyle="1" w:styleId="142">
    <w:name w:val="3GPP_Header"/>
    <w:basedOn w:val="31"/>
    <w:qFormat/>
    <w:uiPriority w:val="0"/>
    <w:pPr>
      <w:tabs>
        <w:tab w:val="left" w:pos="1701"/>
        <w:tab w:val="right" w:pos="9639"/>
      </w:tabs>
      <w:overflowPunct/>
      <w:autoSpaceDE/>
      <w:autoSpaceDN/>
      <w:adjustRightInd/>
      <w:spacing w:after="240" w:line="259" w:lineRule="auto"/>
      <w:jc w:val="both"/>
      <w:textAlignment w:val="auto"/>
    </w:pPr>
    <w:rPr>
      <w:rFonts w:ascii="Arial" w:hAnsi="Arial" w:eastAsia="等线"/>
      <w:b/>
      <w:sz w:val="24"/>
      <w:szCs w:val="22"/>
      <w:lang w:val="en-US" w:eastAsia="zh-CN"/>
    </w:rPr>
  </w:style>
  <w:style w:type="character" w:customStyle="1" w:styleId="143">
    <w:name w:val="Footer Char"/>
    <w:basedOn w:val="51"/>
    <w:link w:val="37"/>
    <w:qFormat/>
    <w:uiPriority w:val="0"/>
    <w:rPr>
      <w:rFonts w:ascii="Arial" w:hAnsi="Arial" w:eastAsia="Times New Roman"/>
      <w:b/>
      <w:i/>
      <w:sz w:val="18"/>
      <w:lang w:val="en-GB" w:eastAsia="en-GB"/>
    </w:rPr>
  </w:style>
  <w:style w:type="paragraph" w:customStyle="1" w:styleId="144">
    <w:name w:val="Reference"/>
    <w:basedOn w:val="31"/>
    <w:qFormat/>
    <w:uiPriority w:val="0"/>
    <w:pPr>
      <w:numPr>
        <w:ilvl w:val="0"/>
        <w:numId w:val="2"/>
      </w:numPr>
      <w:tabs>
        <w:tab w:val="clear" w:pos="567"/>
      </w:tabs>
      <w:overflowPunct/>
      <w:autoSpaceDE/>
      <w:autoSpaceDN/>
      <w:adjustRightInd/>
      <w:spacing w:after="120" w:line="259" w:lineRule="auto"/>
      <w:ind w:left="360" w:hanging="360"/>
      <w:jc w:val="both"/>
      <w:textAlignment w:val="auto"/>
    </w:pPr>
    <w:rPr>
      <w:rFonts w:ascii="Arial" w:hAnsi="Arial" w:eastAsia="等线"/>
      <w:szCs w:val="22"/>
      <w:lang w:val="en-US" w:eastAsia="zh-CN"/>
    </w:rPr>
  </w:style>
  <w:style w:type="character" w:customStyle="1" w:styleId="145">
    <w:name w:val="Body Text Char"/>
    <w:basedOn w:val="51"/>
    <w:link w:val="31"/>
    <w:qFormat/>
    <w:uiPriority w:val="0"/>
    <w:rPr>
      <w:rFonts w:eastAsia="Times New Roman"/>
      <w:lang w:val="en-GB" w:eastAsia="en-GB"/>
    </w:rPr>
  </w:style>
  <w:style w:type="paragraph" w:customStyle="1" w:styleId="146">
    <w:name w:val="Proposal"/>
    <w:basedOn w:val="31"/>
    <w:qFormat/>
    <w:uiPriority w:val="0"/>
    <w:pPr>
      <w:numPr>
        <w:ilvl w:val="0"/>
        <w:numId w:val="3"/>
      </w:numPr>
      <w:tabs>
        <w:tab w:val="left" w:pos="1701"/>
        <w:tab w:val="clear" w:pos="1304"/>
      </w:tabs>
      <w:overflowPunct/>
      <w:autoSpaceDE/>
      <w:autoSpaceDN/>
      <w:adjustRightInd/>
      <w:spacing w:after="120" w:line="259" w:lineRule="auto"/>
      <w:ind w:left="1701" w:hanging="1701"/>
      <w:jc w:val="both"/>
      <w:textAlignment w:val="auto"/>
    </w:pPr>
    <w:rPr>
      <w:rFonts w:ascii="Arial" w:hAnsi="Arial" w:eastAsia="等线"/>
      <w:b/>
      <w:bCs/>
      <w:szCs w:val="22"/>
      <w:lang w:val="en-US" w:eastAsia="zh-CN"/>
    </w:rPr>
  </w:style>
  <w:style w:type="paragraph" w:customStyle="1" w:styleId="147">
    <w:name w:val="Observation"/>
    <w:basedOn w:val="146"/>
    <w:qFormat/>
    <w:uiPriority w:val="0"/>
    <w:pPr>
      <w:numPr>
        <w:ilvl w:val="0"/>
        <w:numId w:val="4"/>
      </w:numPr>
      <w:tabs>
        <w:tab w:val="left" w:pos="360"/>
      </w:tabs>
      <w:ind w:left="1701" w:hanging="1701"/>
    </w:pPr>
    <w:rPr>
      <w:lang w:eastAsia="ja-JP"/>
    </w:rPr>
  </w:style>
  <w:style w:type="paragraph" w:customStyle="1" w:styleId="148">
    <w:name w:val="Table of Figures1"/>
    <w:basedOn w:val="31"/>
    <w:next w:val="1"/>
    <w:qFormat/>
    <w:uiPriority w:val="99"/>
    <w:pPr>
      <w:overflowPunct/>
      <w:autoSpaceDE/>
      <w:autoSpaceDN/>
      <w:adjustRightInd/>
      <w:spacing w:after="120" w:line="259" w:lineRule="auto"/>
      <w:ind w:left="1701" w:hanging="1701"/>
      <w:textAlignment w:val="auto"/>
    </w:pPr>
    <w:rPr>
      <w:rFonts w:ascii="Arial" w:hAnsi="Arial" w:eastAsia="等线"/>
      <w:b/>
      <w:szCs w:val="22"/>
      <w:lang w:val="en-US" w:eastAsia="zh-CN"/>
    </w:rPr>
  </w:style>
  <w:style w:type="paragraph" w:customStyle="1" w:styleId="149">
    <w:name w:val="No Spacing1"/>
    <w:next w:val="150"/>
    <w:qFormat/>
    <w:uiPriority w:val="1"/>
    <w:rPr>
      <w:rFonts w:ascii="Arial" w:hAnsi="Arial" w:eastAsia="等线" w:cs="Times New Roman"/>
      <w:szCs w:val="22"/>
      <w:lang w:val="en-US" w:eastAsia="en-US" w:bidi="ar-SA"/>
    </w:rPr>
  </w:style>
  <w:style w:type="paragraph" w:styleId="150">
    <w:name w:val="No Spacing"/>
    <w:qFormat/>
    <w:uiPriority w:val="1"/>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character" w:customStyle="1" w:styleId="151">
    <w:name w:val="Mention1"/>
    <w:basedOn w:val="51"/>
    <w:unhideWhenUsed/>
    <w:qFormat/>
    <w:uiPriority w:val="99"/>
    <w:rPr>
      <w:color w:val="2B579A"/>
      <w:shd w:val="clear" w:color="auto" w:fill="E1DFDD"/>
    </w:rPr>
  </w:style>
  <w:style w:type="character" w:customStyle="1" w:styleId="152">
    <w:name w:val="ui-provider"/>
    <w:basedOn w:val="51"/>
    <w:qFormat/>
    <w:uiPriority w:val="0"/>
  </w:style>
  <w:style w:type="character" w:customStyle="1" w:styleId="153">
    <w:name w:val="Heading 6 Char"/>
    <w:basedOn w:val="51"/>
    <w:link w:val="7"/>
    <w:qFormat/>
    <w:uiPriority w:val="0"/>
    <w:rPr>
      <w:rFonts w:ascii="Arial" w:hAnsi="Arial" w:eastAsia="Times New Roman"/>
      <w:lang w:val="en-GB" w:eastAsia="en-GB"/>
    </w:rPr>
  </w:style>
  <w:style w:type="character" w:customStyle="1" w:styleId="154">
    <w:name w:val="Heading 7 Char"/>
    <w:basedOn w:val="51"/>
    <w:link w:val="8"/>
    <w:qFormat/>
    <w:uiPriority w:val="0"/>
    <w:rPr>
      <w:rFonts w:ascii="Arial" w:hAnsi="Arial" w:eastAsia="Times New Roman"/>
      <w:lang w:val="en-GB" w:eastAsia="en-GB"/>
    </w:rPr>
  </w:style>
  <w:style w:type="character" w:customStyle="1" w:styleId="155">
    <w:name w:val="Heading 8 Char"/>
    <w:basedOn w:val="51"/>
    <w:link w:val="10"/>
    <w:qFormat/>
    <w:uiPriority w:val="0"/>
    <w:rPr>
      <w:rFonts w:ascii="Arial" w:hAnsi="Arial" w:eastAsia="Times New Roman"/>
      <w:sz w:val="36"/>
      <w:lang w:val="en-GB" w:eastAsia="en-GB"/>
    </w:rPr>
  </w:style>
  <w:style w:type="character" w:customStyle="1" w:styleId="156">
    <w:name w:val="Heading 9 Char"/>
    <w:basedOn w:val="51"/>
    <w:link w:val="11"/>
    <w:qFormat/>
    <w:uiPriority w:val="0"/>
    <w:rPr>
      <w:rFonts w:ascii="Arial" w:hAnsi="Arial" w:eastAsia="Times New Roman"/>
      <w:sz w:val="36"/>
      <w:lang w:val="en-GB" w:eastAsia="en-GB"/>
    </w:rPr>
  </w:style>
  <w:style w:type="character" w:customStyle="1" w:styleId="157">
    <w:name w:val="Document Map Char"/>
    <w:basedOn w:val="51"/>
    <w:link w:val="29"/>
    <w:semiHidden/>
    <w:qFormat/>
    <w:uiPriority w:val="0"/>
    <w:rPr>
      <w:rFonts w:ascii="Tahoma" w:hAnsi="Tahoma" w:eastAsia="Times New Roman"/>
      <w:shd w:val="clear" w:color="auto" w:fill="000080"/>
      <w:lang w:val="en-GB" w:eastAsia="en-GB"/>
    </w:rPr>
  </w:style>
  <w:style w:type="paragraph" w:customStyle="1" w:styleId="158">
    <w:name w:val="Revision"/>
    <w:hidden/>
    <w:unhideWhenUsed/>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40.bin"/><Relationship Id="rId98" Type="http://schemas.openxmlformats.org/officeDocument/2006/relationships/image" Target="media/image50.wmf"/><Relationship Id="rId97" Type="http://schemas.openxmlformats.org/officeDocument/2006/relationships/oleObject" Target="embeddings/oleObject39.bin"/><Relationship Id="rId96" Type="http://schemas.openxmlformats.org/officeDocument/2006/relationships/image" Target="media/image49.wmf"/><Relationship Id="rId95" Type="http://schemas.openxmlformats.org/officeDocument/2006/relationships/oleObject" Target="embeddings/oleObject38.bin"/><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image" Target="media/image2.png"/><Relationship Id="rId89" Type="http://schemas.openxmlformats.org/officeDocument/2006/relationships/oleObject" Target="embeddings/oleObject35.bin"/><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image" Target="media/image1.emf"/><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image" Target="media/image38.wmf"/><Relationship Id="rId73" Type="http://schemas.openxmlformats.org/officeDocument/2006/relationships/oleObject" Target="embeddings/oleObject27.bin"/><Relationship Id="rId72" Type="http://schemas.openxmlformats.org/officeDocument/2006/relationships/image" Target="media/image37.wmf"/><Relationship Id="rId71" Type="http://schemas.openxmlformats.org/officeDocument/2006/relationships/oleObject" Target="embeddings/oleObject26.bin"/><Relationship Id="rId70" Type="http://schemas.openxmlformats.org/officeDocument/2006/relationships/image" Target="media/image36.wmf"/><Relationship Id="rId7" Type="http://schemas.openxmlformats.org/officeDocument/2006/relationships/oleObject" Target="embeddings/oleObject1.bin"/><Relationship Id="rId69" Type="http://schemas.openxmlformats.org/officeDocument/2006/relationships/oleObject" Target="embeddings/oleObject25.bin"/><Relationship Id="rId68" Type="http://schemas.openxmlformats.org/officeDocument/2006/relationships/image" Target="media/image35.wmf"/><Relationship Id="rId67" Type="http://schemas.openxmlformats.org/officeDocument/2006/relationships/oleObject" Target="embeddings/oleObject24.bin"/><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theme" Target="theme/theme1.xml"/><Relationship Id="rId59" Type="http://schemas.openxmlformats.org/officeDocument/2006/relationships/oleObject" Target="embeddings/oleObject20.bin"/><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image" Target="media/image29.wmf"/><Relationship Id="rId55" Type="http://schemas.openxmlformats.org/officeDocument/2006/relationships/oleObject" Target="embeddings/oleObject18.bin"/><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wmf"/><Relationship Id="rId51" Type="http://schemas.openxmlformats.org/officeDocument/2006/relationships/oleObject" Target="embeddings/oleObject16.bin"/><Relationship Id="rId50" Type="http://schemas.openxmlformats.org/officeDocument/2006/relationships/image" Target="media/image26.wmf"/><Relationship Id="rId5" Type="http://schemas.openxmlformats.org/officeDocument/2006/relationships/footer" Target="footer1.xml"/><Relationship Id="rId49" Type="http://schemas.openxmlformats.org/officeDocument/2006/relationships/oleObject" Target="embeddings/oleObject15.bin"/><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emf"/><Relationship Id="rId43" Type="http://schemas.openxmlformats.org/officeDocument/2006/relationships/oleObject" Target="embeddings/Microsoft_Visio_2003-2010___3.vsd"/><Relationship Id="rId42" Type="http://schemas.openxmlformats.org/officeDocument/2006/relationships/image" Target="media/image22.emf"/><Relationship Id="rId41" Type="http://schemas.openxmlformats.org/officeDocument/2006/relationships/oleObject" Target="embeddings/Microsoft_Visio_2003-2010___2.vsd"/><Relationship Id="rId40" Type="http://schemas.openxmlformats.org/officeDocument/2006/relationships/image" Target="media/image21.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image" Target="media/image20.wmf"/><Relationship Id="rId36" Type="http://schemas.openxmlformats.org/officeDocument/2006/relationships/oleObject" Target="embeddings/oleObject10.bin"/><Relationship Id="rId35" Type="http://schemas.openxmlformats.org/officeDocument/2006/relationships/image" Target="media/image19.wmf"/><Relationship Id="rId34" Type="http://schemas.openxmlformats.org/officeDocument/2006/relationships/oleObject" Target="embeddings/oleObject9.bin"/><Relationship Id="rId33" Type="http://schemas.openxmlformats.org/officeDocument/2006/relationships/image" Target="media/image18.wmf"/><Relationship Id="rId32" Type="http://schemas.openxmlformats.org/officeDocument/2006/relationships/oleObject" Target="embeddings/oleObject8.bin"/><Relationship Id="rId31" Type="http://schemas.openxmlformats.org/officeDocument/2006/relationships/image" Target="media/image17.wmf"/><Relationship Id="rId30" Type="http://schemas.openxmlformats.org/officeDocument/2006/relationships/oleObject" Target="embeddings/oleObject7.bin"/><Relationship Id="rId3" Type="http://schemas.openxmlformats.org/officeDocument/2006/relationships/footnotes" Target="footnotes.xml"/><Relationship Id="rId29" Type="http://schemas.openxmlformats.org/officeDocument/2006/relationships/image" Target="media/image16.wmf"/><Relationship Id="rId28" Type="http://schemas.openxmlformats.org/officeDocument/2006/relationships/oleObject" Target="embeddings/oleObject6.bin"/><Relationship Id="rId27" Type="http://schemas.openxmlformats.org/officeDocument/2006/relationships/image" Target="media/image15.wmf"/><Relationship Id="rId26" Type="http://schemas.openxmlformats.org/officeDocument/2006/relationships/image" Target="media/image14.wmf"/><Relationship Id="rId25" Type="http://schemas.openxmlformats.org/officeDocument/2006/relationships/oleObject" Target="embeddings/oleObject5.bin"/><Relationship Id="rId240" Type="http://schemas.openxmlformats.org/officeDocument/2006/relationships/fontTable" Target="fontTable.xml"/><Relationship Id="rId24" Type="http://schemas.openxmlformats.org/officeDocument/2006/relationships/image" Target="media/image13.wmf"/><Relationship Id="rId239" Type="http://schemas.microsoft.com/office/2006/relationships/keyMapCustomizations" Target="customizations.xml"/><Relationship Id="rId238" Type="http://schemas.openxmlformats.org/officeDocument/2006/relationships/customXml" Target="../customXml/item1.xml"/><Relationship Id="rId237" Type="http://schemas.openxmlformats.org/officeDocument/2006/relationships/numbering" Target="numbering.xml"/><Relationship Id="rId236" Type="http://schemas.openxmlformats.org/officeDocument/2006/relationships/chart" Target="charts/chart77.xml"/><Relationship Id="rId235" Type="http://schemas.openxmlformats.org/officeDocument/2006/relationships/chart" Target="charts/chart76.xml"/><Relationship Id="rId234" Type="http://schemas.openxmlformats.org/officeDocument/2006/relationships/image" Target="media/image80.emf"/><Relationship Id="rId233" Type="http://schemas.openxmlformats.org/officeDocument/2006/relationships/oleObject" Target="embeddings/oleObject69.bin"/><Relationship Id="rId232" Type="http://schemas.openxmlformats.org/officeDocument/2006/relationships/image" Target="media/image79.emf"/><Relationship Id="rId231" Type="http://schemas.openxmlformats.org/officeDocument/2006/relationships/oleObject" Target="embeddings/oleObject68.bin"/><Relationship Id="rId230" Type="http://schemas.openxmlformats.org/officeDocument/2006/relationships/chart" Target="charts/chart75.xml"/><Relationship Id="rId23" Type="http://schemas.openxmlformats.org/officeDocument/2006/relationships/oleObject" Target="embeddings/oleObject4.bin"/><Relationship Id="rId229" Type="http://schemas.openxmlformats.org/officeDocument/2006/relationships/image" Target="media/image78.emf"/><Relationship Id="rId228" Type="http://schemas.openxmlformats.org/officeDocument/2006/relationships/oleObject" Target="embeddings/oleObject67.bin"/><Relationship Id="rId227" Type="http://schemas.openxmlformats.org/officeDocument/2006/relationships/image" Target="media/image77.emf"/><Relationship Id="rId226" Type="http://schemas.openxmlformats.org/officeDocument/2006/relationships/oleObject" Target="embeddings/oleObject66.bin"/><Relationship Id="rId225" Type="http://schemas.openxmlformats.org/officeDocument/2006/relationships/image" Target="media/image76.emf"/><Relationship Id="rId224" Type="http://schemas.openxmlformats.org/officeDocument/2006/relationships/oleObject" Target="embeddings/oleObject65.bin"/><Relationship Id="rId223" Type="http://schemas.openxmlformats.org/officeDocument/2006/relationships/image" Target="media/image75.emf"/><Relationship Id="rId222" Type="http://schemas.openxmlformats.org/officeDocument/2006/relationships/package" Target="embeddings/Workbook1.xlsx"/><Relationship Id="rId221" Type="http://schemas.openxmlformats.org/officeDocument/2006/relationships/image" Target="media/image74.emf"/><Relationship Id="rId220" Type="http://schemas.openxmlformats.org/officeDocument/2006/relationships/oleObject" Target="embeddings/oleObject64.bin"/><Relationship Id="rId22" Type="http://schemas.openxmlformats.org/officeDocument/2006/relationships/image" Target="media/image12.wmf"/><Relationship Id="rId219" Type="http://schemas.openxmlformats.org/officeDocument/2006/relationships/image" Target="media/image73.emf"/><Relationship Id="rId218" Type="http://schemas.openxmlformats.org/officeDocument/2006/relationships/oleObject" Target="embeddings/oleObject63.bin"/><Relationship Id="rId217" Type="http://schemas.openxmlformats.org/officeDocument/2006/relationships/image" Target="media/image72.png"/><Relationship Id="rId216" Type="http://schemas.openxmlformats.org/officeDocument/2006/relationships/image" Target="media/image71.emf"/><Relationship Id="rId215" Type="http://schemas.openxmlformats.org/officeDocument/2006/relationships/image" Target="media/image70.emf"/><Relationship Id="rId214" Type="http://schemas.openxmlformats.org/officeDocument/2006/relationships/chart" Target="charts/chart74.xml"/><Relationship Id="rId213" Type="http://schemas.openxmlformats.org/officeDocument/2006/relationships/chart" Target="charts/chart73.xml"/><Relationship Id="rId212" Type="http://schemas.openxmlformats.org/officeDocument/2006/relationships/image" Target="media/image69.wmf"/><Relationship Id="rId211" Type="http://schemas.openxmlformats.org/officeDocument/2006/relationships/oleObject" Target="embeddings/oleObject62.bin"/><Relationship Id="rId210" Type="http://schemas.openxmlformats.org/officeDocument/2006/relationships/chart" Target="charts/chart72.xml"/><Relationship Id="rId21" Type="http://schemas.openxmlformats.org/officeDocument/2006/relationships/oleObject" Target="embeddings/oleObject3.bin"/><Relationship Id="rId209" Type="http://schemas.openxmlformats.org/officeDocument/2006/relationships/chart" Target="charts/chart71.xml"/><Relationship Id="rId208" Type="http://schemas.openxmlformats.org/officeDocument/2006/relationships/chart" Target="charts/chart70.xml"/><Relationship Id="rId207" Type="http://schemas.openxmlformats.org/officeDocument/2006/relationships/chart" Target="charts/chart69.xml"/><Relationship Id="rId206" Type="http://schemas.openxmlformats.org/officeDocument/2006/relationships/chart" Target="charts/chart68.xml"/><Relationship Id="rId205" Type="http://schemas.openxmlformats.org/officeDocument/2006/relationships/chart" Target="charts/chart67.xml"/><Relationship Id="rId204" Type="http://schemas.openxmlformats.org/officeDocument/2006/relationships/chart" Target="charts/chart66.xml"/><Relationship Id="rId203" Type="http://schemas.openxmlformats.org/officeDocument/2006/relationships/chart" Target="charts/chart65.xml"/><Relationship Id="rId202" Type="http://schemas.openxmlformats.org/officeDocument/2006/relationships/chart" Target="charts/chart64.xml"/><Relationship Id="rId201" Type="http://schemas.openxmlformats.org/officeDocument/2006/relationships/chart" Target="charts/chart63.xml"/><Relationship Id="rId200" Type="http://schemas.openxmlformats.org/officeDocument/2006/relationships/chart" Target="charts/chart62.xml"/><Relationship Id="rId20" Type="http://schemas.openxmlformats.org/officeDocument/2006/relationships/image" Target="media/image11.wmf"/><Relationship Id="rId2" Type="http://schemas.openxmlformats.org/officeDocument/2006/relationships/settings" Target="settings.xml"/><Relationship Id="rId199" Type="http://schemas.openxmlformats.org/officeDocument/2006/relationships/chart" Target="charts/chart61.xml"/><Relationship Id="rId198" Type="http://schemas.openxmlformats.org/officeDocument/2006/relationships/chart" Target="charts/chart60.xml"/><Relationship Id="rId197" Type="http://schemas.openxmlformats.org/officeDocument/2006/relationships/chart" Target="charts/chart59.xml"/><Relationship Id="rId196" Type="http://schemas.openxmlformats.org/officeDocument/2006/relationships/chart" Target="charts/chart58.xml"/><Relationship Id="rId195" Type="http://schemas.openxmlformats.org/officeDocument/2006/relationships/chart" Target="charts/chart57.xml"/><Relationship Id="rId194" Type="http://schemas.openxmlformats.org/officeDocument/2006/relationships/chart" Target="charts/chart56.xml"/><Relationship Id="rId193" Type="http://schemas.openxmlformats.org/officeDocument/2006/relationships/chart" Target="charts/chart55.xml"/><Relationship Id="rId192" Type="http://schemas.openxmlformats.org/officeDocument/2006/relationships/chart" Target="charts/chart54.xml"/><Relationship Id="rId191" Type="http://schemas.openxmlformats.org/officeDocument/2006/relationships/chart" Target="charts/chart53.xml"/><Relationship Id="rId190" Type="http://schemas.openxmlformats.org/officeDocument/2006/relationships/chart" Target="charts/chart52.xml"/><Relationship Id="rId19" Type="http://schemas.openxmlformats.org/officeDocument/2006/relationships/oleObject" Target="embeddings/oleObject2.bin"/><Relationship Id="rId189" Type="http://schemas.openxmlformats.org/officeDocument/2006/relationships/chart" Target="charts/chart51.xml"/><Relationship Id="rId188" Type="http://schemas.openxmlformats.org/officeDocument/2006/relationships/chart" Target="charts/chart50.xml"/><Relationship Id="rId187" Type="http://schemas.openxmlformats.org/officeDocument/2006/relationships/chart" Target="charts/chart49.xml"/><Relationship Id="rId186" Type="http://schemas.openxmlformats.org/officeDocument/2006/relationships/chart" Target="charts/chart48.xml"/><Relationship Id="rId185" Type="http://schemas.openxmlformats.org/officeDocument/2006/relationships/chart" Target="charts/chart47.xml"/><Relationship Id="rId184" Type="http://schemas.openxmlformats.org/officeDocument/2006/relationships/chart" Target="charts/chart46.xml"/><Relationship Id="rId183" Type="http://schemas.openxmlformats.org/officeDocument/2006/relationships/chart" Target="charts/chart45.xml"/><Relationship Id="rId182" Type="http://schemas.openxmlformats.org/officeDocument/2006/relationships/chart" Target="charts/chart44.xml"/><Relationship Id="rId181" Type="http://schemas.openxmlformats.org/officeDocument/2006/relationships/chart" Target="charts/chart43.xml"/><Relationship Id="rId180" Type="http://schemas.openxmlformats.org/officeDocument/2006/relationships/chart" Target="charts/chart42.xml"/><Relationship Id="rId18" Type="http://schemas.openxmlformats.org/officeDocument/2006/relationships/image" Target="media/image10.jpeg"/><Relationship Id="rId179" Type="http://schemas.openxmlformats.org/officeDocument/2006/relationships/chart" Target="charts/chart41.xml"/><Relationship Id="rId178" Type="http://schemas.openxmlformats.org/officeDocument/2006/relationships/chart" Target="charts/chart40.xml"/><Relationship Id="rId177" Type="http://schemas.openxmlformats.org/officeDocument/2006/relationships/chart" Target="charts/chart39.xml"/><Relationship Id="rId176" Type="http://schemas.openxmlformats.org/officeDocument/2006/relationships/chart" Target="charts/chart38.xml"/><Relationship Id="rId175" Type="http://schemas.openxmlformats.org/officeDocument/2006/relationships/chart" Target="charts/chart37.xml"/><Relationship Id="rId174" Type="http://schemas.openxmlformats.org/officeDocument/2006/relationships/chart" Target="charts/chart36.xml"/><Relationship Id="rId173" Type="http://schemas.openxmlformats.org/officeDocument/2006/relationships/chart" Target="charts/chart35.xml"/><Relationship Id="rId172" Type="http://schemas.openxmlformats.org/officeDocument/2006/relationships/chart" Target="charts/chart34.xml"/><Relationship Id="rId171" Type="http://schemas.openxmlformats.org/officeDocument/2006/relationships/chart" Target="charts/chart33.xml"/><Relationship Id="rId170" Type="http://schemas.openxmlformats.org/officeDocument/2006/relationships/chart" Target="charts/chart32.xml"/><Relationship Id="rId17" Type="http://schemas.openxmlformats.org/officeDocument/2006/relationships/image" Target="media/image9.jpeg"/><Relationship Id="rId169" Type="http://schemas.openxmlformats.org/officeDocument/2006/relationships/chart" Target="charts/chart31.xml"/><Relationship Id="rId168" Type="http://schemas.openxmlformats.org/officeDocument/2006/relationships/chart" Target="charts/chart30.xml"/><Relationship Id="rId167" Type="http://schemas.openxmlformats.org/officeDocument/2006/relationships/chart" Target="charts/chart29.xml"/><Relationship Id="rId166" Type="http://schemas.openxmlformats.org/officeDocument/2006/relationships/chart" Target="charts/chart28.xml"/><Relationship Id="rId165" Type="http://schemas.openxmlformats.org/officeDocument/2006/relationships/chart" Target="charts/chart27.xml"/><Relationship Id="rId164" Type="http://schemas.openxmlformats.org/officeDocument/2006/relationships/chart" Target="charts/chart26.xml"/><Relationship Id="rId163" Type="http://schemas.openxmlformats.org/officeDocument/2006/relationships/chart" Target="charts/chart25.xml"/><Relationship Id="rId162" Type="http://schemas.openxmlformats.org/officeDocument/2006/relationships/chart" Target="charts/chart24.xml"/><Relationship Id="rId161" Type="http://schemas.openxmlformats.org/officeDocument/2006/relationships/chart" Target="charts/chart23.xml"/><Relationship Id="rId160" Type="http://schemas.openxmlformats.org/officeDocument/2006/relationships/chart" Target="charts/chart22.xml"/><Relationship Id="rId16" Type="http://schemas.openxmlformats.org/officeDocument/2006/relationships/image" Target="media/image8.jpeg"/><Relationship Id="rId159" Type="http://schemas.openxmlformats.org/officeDocument/2006/relationships/chart" Target="charts/chart21.xml"/><Relationship Id="rId158" Type="http://schemas.openxmlformats.org/officeDocument/2006/relationships/chart" Target="charts/chart20.xml"/><Relationship Id="rId157" Type="http://schemas.openxmlformats.org/officeDocument/2006/relationships/chart" Target="charts/chart19.xml"/><Relationship Id="rId156" Type="http://schemas.openxmlformats.org/officeDocument/2006/relationships/chart" Target="charts/chart18.xml"/><Relationship Id="rId155" Type="http://schemas.openxmlformats.org/officeDocument/2006/relationships/chart" Target="charts/chart17.xml"/><Relationship Id="rId154" Type="http://schemas.openxmlformats.org/officeDocument/2006/relationships/chart" Target="charts/chart16.xml"/><Relationship Id="rId153" Type="http://schemas.openxmlformats.org/officeDocument/2006/relationships/chart" Target="charts/chart15.xml"/><Relationship Id="rId152" Type="http://schemas.openxmlformats.org/officeDocument/2006/relationships/chart" Target="charts/chart14.xml"/><Relationship Id="rId151" Type="http://schemas.openxmlformats.org/officeDocument/2006/relationships/chart" Target="charts/chart13.xml"/><Relationship Id="rId150" Type="http://schemas.openxmlformats.org/officeDocument/2006/relationships/chart" Target="charts/chart12.xml"/><Relationship Id="rId15" Type="http://schemas.openxmlformats.org/officeDocument/2006/relationships/image" Target="media/image7.png"/><Relationship Id="rId149" Type="http://schemas.openxmlformats.org/officeDocument/2006/relationships/chart" Target="charts/chart11.xml"/><Relationship Id="rId148" Type="http://schemas.openxmlformats.org/officeDocument/2006/relationships/chart" Target="charts/chart10.xml"/><Relationship Id="rId147" Type="http://schemas.openxmlformats.org/officeDocument/2006/relationships/chart" Target="charts/chart9.xml"/><Relationship Id="rId146" Type="http://schemas.openxmlformats.org/officeDocument/2006/relationships/chart" Target="charts/chart8.xml"/><Relationship Id="rId145" Type="http://schemas.openxmlformats.org/officeDocument/2006/relationships/chart" Target="charts/chart7.xml"/><Relationship Id="rId144" Type="http://schemas.openxmlformats.org/officeDocument/2006/relationships/chart" Target="charts/chart6.xml"/><Relationship Id="rId143" Type="http://schemas.openxmlformats.org/officeDocument/2006/relationships/chart" Target="charts/chart5.xml"/><Relationship Id="rId142" Type="http://schemas.openxmlformats.org/officeDocument/2006/relationships/chart" Target="charts/chart4.xml"/><Relationship Id="rId141" Type="http://schemas.openxmlformats.org/officeDocument/2006/relationships/chart" Target="charts/chart3.xml"/><Relationship Id="rId140" Type="http://schemas.openxmlformats.org/officeDocument/2006/relationships/chart" Target="charts/chart2.xml"/><Relationship Id="rId14" Type="http://schemas.openxmlformats.org/officeDocument/2006/relationships/image" Target="media/image6.png"/><Relationship Id="rId139" Type="http://schemas.openxmlformats.org/officeDocument/2006/relationships/chart" Target="charts/chart1.xml"/><Relationship Id="rId138" Type="http://schemas.openxmlformats.org/officeDocument/2006/relationships/image" Target="media/image68.png"/><Relationship Id="rId137" Type="http://schemas.openxmlformats.org/officeDocument/2006/relationships/oleObject" Target="embeddings/oleObject61.bin"/><Relationship Id="rId136" Type="http://schemas.openxmlformats.org/officeDocument/2006/relationships/image" Target="media/image67.wmf"/><Relationship Id="rId135" Type="http://schemas.openxmlformats.org/officeDocument/2006/relationships/oleObject" Target="embeddings/oleObject60.bin"/><Relationship Id="rId134" Type="http://schemas.openxmlformats.org/officeDocument/2006/relationships/oleObject" Target="embeddings/oleObject59.bin"/><Relationship Id="rId133" Type="http://schemas.openxmlformats.org/officeDocument/2006/relationships/oleObject" Target="embeddings/oleObject58.bin"/><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image" Target="media/image5.png"/><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image" Target="media/image64.wmf"/><Relationship Id="rId126" Type="http://schemas.openxmlformats.org/officeDocument/2006/relationships/oleObject" Target="embeddings/oleObject54.bin"/><Relationship Id="rId125" Type="http://schemas.openxmlformats.org/officeDocument/2006/relationships/image" Target="media/image63.wmf"/><Relationship Id="rId124" Type="http://schemas.openxmlformats.org/officeDocument/2006/relationships/oleObject" Target="embeddings/oleObject53.bin"/><Relationship Id="rId123" Type="http://schemas.openxmlformats.org/officeDocument/2006/relationships/image" Target="media/image62.wmf"/><Relationship Id="rId122" Type="http://schemas.openxmlformats.org/officeDocument/2006/relationships/oleObject" Target="embeddings/oleObject52.bin"/><Relationship Id="rId121" Type="http://schemas.openxmlformats.org/officeDocument/2006/relationships/oleObject" Target="embeddings/oleObject51.bin"/><Relationship Id="rId120" Type="http://schemas.openxmlformats.org/officeDocument/2006/relationships/image" Target="media/image61.wmf"/><Relationship Id="rId12" Type="http://schemas.openxmlformats.org/officeDocument/2006/relationships/image" Target="media/image4.emf"/><Relationship Id="rId119" Type="http://schemas.openxmlformats.org/officeDocument/2006/relationships/oleObject" Target="embeddings/oleObject50.bin"/><Relationship Id="rId118" Type="http://schemas.openxmlformats.org/officeDocument/2006/relationships/image" Target="media/image60.wmf"/><Relationship Id="rId117" Type="http://schemas.openxmlformats.org/officeDocument/2006/relationships/oleObject" Target="embeddings/oleObject49.bin"/><Relationship Id="rId116" Type="http://schemas.openxmlformats.org/officeDocument/2006/relationships/image" Target="media/image59.wmf"/><Relationship Id="rId115" Type="http://schemas.openxmlformats.org/officeDocument/2006/relationships/oleObject" Target="embeddings/oleObject48.bin"/><Relationship Id="rId114" Type="http://schemas.openxmlformats.org/officeDocument/2006/relationships/image" Target="media/image58.wmf"/><Relationship Id="rId113" Type="http://schemas.openxmlformats.org/officeDocument/2006/relationships/oleObject" Target="embeddings/oleObject47.bin"/><Relationship Id="rId112" Type="http://schemas.openxmlformats.org/officeDocument/2006/relationships/image" Target="media/image57.wmf"/><Relationship Id="rId111" Type="http://schemas.openxmlformats.org/officeDocument/2006/relationships/oleObject" Target="embeddings/oleObject46.bin"/><Relationship Id="rId110" Type="http://schemas.openxmlformats.org/officeDocument/2006/relationships/image" Target="media/image56.wmf"/><Relationship Id="rId11" Type="http://schemas.openxmlformats.org/officeDocument/2006/relationships/package" Target="embeddings/Microsoft_Visio___1.vsdx"/><Relationship Id="rId109" Type="http://schemas.openxmlformats.org/officeDocument/2006/relationships/oleObject" Target="embeddings/oleObject45.bin"/><Relationship Id="rId108" Type="http://schemas.openxmlformats.org/officeDocument/2006/relationships/image" Target="media/image55.wmf"/><Relationship Id="rId107" Type="http://schemas.openxmlformats.org/officeDocument/2006/relationships/oleObject" Target="embeddings/oleObject44.bin"/><Relationship Id="rId106" Type="http://schemas.openxmlformats.org/officeDocument/2006/relationships/image" Target="media/image54.wmf"/><Relationship Id="rId105" Type="http://schemas.openxmlformats.org/officeDocument/2006/relationships/oleObject" Target="embeddings/oleObject43.bin"/><Relationship Id="rId104" Type="http://schemas.openxmlformats.org/officeDocument/2006/relationships/image" Target="media/image53.wmf"/><Relationship Id="rId103" Type="http://schemas.openxmlformats.org/officeDocument/2006/relationships/oleObject" Target="embeddings/oleObject42.bin"/><Relationship Id="rId102" Type="http://schemas.openxmlformats.org/officeDocument/2006/relationships/image" Target="media/image52.wmf"/><Relationship Id="rId101" Type="http://schemas.openxmlformats.org/officeDocument/2006/relationships/oleObject" Target="embeddings/oleObject41.bin"/><Relationship Id="rId100" Type="http://schemas.openxmlformats.org/officeDocument/2006/relationships/image" Target="media/image51.wmf"/><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73.xml"/><Relationship Id="rId2" Type="http://schemas.microsoft.com/office/2011/relationships/chartStyle" Target="style7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0.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2.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3.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4.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6.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7.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8.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19.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74.xml"/><Relationship Id="rId2" Type="http://schemas.microsoft.com/office/2011/relationships/chartStyle" Target="style74.xml"/><Relationship Id="rId1" Type="http://schemas.openxmlformats.org/officeDocument/2006/relationships/oleObject" Target="../embeddings/oleObject72.bin"/></Relationships>
</file>

<file path=word/charts/_rels/chart20.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1.xml.rels><?xml version="1.0" encoding="UTF-8" standalone="yes"?>
<Relationships xmlns="http://schemas.openxmlformats.org/package/2006/relationships"><Relationship Id="rId3" Type="http://schemas.microsoft.com/office/2011/relationships/chartColorStyle" Target="colors42.xml"/><Relationship Id="rId2" Type="http://schemas.microsoft.com/office/2011/relationships/chartStyle" Target="style4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2.xml.rels><?xml version="1.0" encoding="UTF-8" standalone="yes"?>
<Relationships xmlns="http://schemas.openxmlformats.org/package/2006/relationships"><Relationship Id="rId3" Type="http://schemas.microsoft.com/office/2011/relationships/chartColorStyle" Target="colors43.xml"/><Relationship Id="rId2" Type="http://schemas.microsoft.com/office/2011/relationships/chartStyle" Target="style4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3.xml.rels><?xml version="1.0" encoding="UTF-8" standalone="yes"?>
<Relationships xmlns="http://schemas.openxmlformats.org/package/2006/relationships"><Relationship Id="rId3" Type="http://schemas.microsoft.com/office/2011/relationships/chartColorStyle" Target="colors40.xml"/><Relationship Id="rId2" Type="http://schemas.microsoft.com/office/2011/relationships/chartStyle" Target="style4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4.xml.rels><?xml version="1.0" encoding="UTF-8" standalone="yes"?>
<Relationships xmlns="http://schemas.openxmlformats.org/package/2006/relationships"><Relationship Id="rId3" Type="http://schemas.microsoft.com/office/2011/relationships/chartColorStyle" Target="colors45.xml"/><Relationship Id="rId2" Type="http://schemas.microsoft.com/office/2011/relationships/chartStyle" Target="style4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5.xml.rels><?xml version="1.0" encoding="UTF-8" standalone="yes"?>
<Relationships xmlns="http://schemas.openxmlformats.org/package/2006/relationships"><Relationship Id="rId3" Type="http://schemas.microsoft.com/office/2011/relationships/chartColorStyle" Target="colors44.xml"/><Relationship Id="rId2" Type="http://schemas.microsoft.com/office/2011/relationships/chartStyle" Target="style4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6.xml.rels><?xml version="1.0" encoding="UTF-8" standalone="yes"?>
<Relationships xmlns="http://schemas.openxmlformats.org/package/2006/relationships"><Relationship Id="rId3" Type="http://schemas.microsoft.com/office/2011/relationships/chartColorStyle" Target="colors48.xml"/><Relationship Id="rId2" Type="http://schemas.microsoft.com/office/2011/relationships/chartStyle" Target="style4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7.xml.rels><?xml version="1.0" encoding="UTF-8" standalone="yes"?>
<Relationships xmlns="http://schemas.openxmlformats.org/package/2006/relationships"><Relationship Id="rId3" Type="http://schemas.microsoft.com/office/2011/relationships/chartColorStyle" Target="colors46.xml"/><Relationship Id="rId2" Type="http://schemas.microsoft.com/office/2011/relationships/chartStyle" Target="style4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8.xml.rels><?xml version="1.0" encoding="UTF-8" standalone="yes"?>
<Relationships xmlns="http://schemas.openxmlformats.org/package/2006/relationships"><Relationship Id="rId3" Type="http://schemas.microsoft.com/office/2011/relationships/chartColorStyle" Target="colors47.xml"/><Relationship Id="rId2" Type="http://schemas.microsoft.com/office/2011/relationships/chartStyle" Target="style4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29.xml.rels><?xml version="1.0" encoding="UTF-8" standalone="yes"?>
<Relationships xmlns="http://schemas.openxmlformats.org/package/2006/relationships"><Relationship Id="rId3" Type="http://schemas.microsoft.com/office/2011/relationships/chartColorStyle" Target="colors39.xml"/><Relationship Id="rId2" Type="http://schemas.microsoft.com/office/2011/relationships/chartStyle" Target="style3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72.xml"/><Relationship Id="rId2" Type="http://schemas.microsoft.com/office/2011/relationships/chartStyle" Target="style7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0.xml.rels><?xml version="1.0" encoding="UTF-8" standalone="yes"?>
<Relationships xmlns="http://schemas.openxmlformats.org/package/2006/relationships"><Relationship Id="rId3" Type="http://schemas.microsoft.com/office/2011/relationships/chartColorStyle" Target="colors41.xml"/><Relationship Id="rId2" Type="http://schemas.microsoft.com/office/2011/relationships/chartStyle" Target="style4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1.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2.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3.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4.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5.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6.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7.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8.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39.xml.rels><?xml version="1.0" encoding="UTF-8" standalone="yes"?>
<Relationships xmlns="http://schemas.openxmlformats.org/package/2006/relationships"><Relationship Id="rId3" Type="http://schemas.microsoft.com/office/2011/relationships/chartColorStyle" Target="colors25.xml"/><Relationship Id="rId2" Type="http://schemas.microsoft.com/office/2011/relationships/chartStyle" Target="style2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75.xml"/><Relationship Id="rId2" Type="http://schemas.microsoft.com/office/2011/relationships/chartStyle" Target="style75.xml"/><Relationship Id="rId1" Type="http://schemas.openxmlformats.org/officeDocument/2006/relationships/oleObject" Target="../embeddings/oleObject73.bin"/></Relationships>
</file>

<file path=word/charts/_rels/chart40.xml.rels><?xml version="1.0" encoding="UTF-8" standalone="yes"?>
<Relationships xmlns="http://schemas.openxmlformats.org/package/2006/relationships"><Relationship Id="rId3" Type="http://schemas.microsoft.com/office/2011/relationships/chartColorStyle" Target="colors26.xml"/><Relationship Id="rId2" Type="http://schemas.microsoft.com/office/2011/relationships/chartStyle" Target="style2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1.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2.xml.rels><?xml version="1.0" encoding="UTF-8" standalone="yes"?>
<Relationships xmlns="http://schemas.openxmlformats.org/package/2006/relationships"><Relationship Id="rId3" Type="http://schemas.microsoft.com/office/2011/relationships/chartColorStyle" Target="colors37.xml"/><Relationship Id="rId2" Type="http://schemas.microsoft.com/office/2011/relationships/chartStyle" Target="style3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3.xml.rels><?xml version="1.0" encoding="UTF-8" standalone="yes"?>
<Relationships xmlns="http://schemas.openxmlformats.org/package/2006/relationships"><Relationship Id="rId3" Type="http://schemas.microsoft.com/office/2011/relationships/chartColorStyle" Target="colors36.xml"/><Relationship Id="rId2" Type="http://schemas.microsoft.com/office/2011/relationships/chartStyle" Target="style3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4.xml.rels><?xml version="1.0" encoding="UTF-8" standalone="yes"?>
<Relationships xmlns="http://schemas.openxmlformats.org/package/2006/relationships"><Relationship Id="rId3" Type="http://schemas.microsoft.com/office/2011/relationships/chartColorStyle" Target="colors31.xml"/><Relationship Id="rId2" Type="http://schemas.microsoft.com/office/2011/relationships/chartStyle" Target="style3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5.xml.rels><?xml version="1.0" encoding="UTF-8" standalone="yes"?>
<Relationships xmlns="http://schemas.openxmlformats.org/package/2006/relationships"><Relationship Id="rId3" Type="http://schemas.microsoft.com/office/2011/relationships/chartColorStyle" Target="colors32.xml"/><Relationship Id="rId2" Type="http://schemas.microsoft.com/office/2011/relationships/chartStyle" Target="style3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6.xml.rels><?xml version="1.0" encoding="UTF-8" standalone="yes"?>
<Relationships xmlns="http://schemas.openxmlformats.org/package/2006/relationships"><Relationship Id="rId3" Type="http://schemas.microsoft.com/office/2011/relationships/chartColorStyle" Target="colors33.xml"/><Relationship Id="rId2" Type="http://schemas.microsoft.com/office/2011/relationships/chartStyle" Target="style3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7.xml.rels><?xml version="1.0" encoding="UTF-8" standalone="yes"?>
<Relationships xmlns="http://schemas.openxmlformats.org/package/2006/relationships"><Relationship Id="rId3" Type="http://schemas.microsoft.com/office/2011/relationships/chartColorStyle" Target="colors34.xml"/><Relationship Id="rId2" Type="http://schemas.microsoft.com/office/2011/relationships/chartStyle" Target="style3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8.xml.rels><?xml version="1.0" encoding="UTF-8" standalone="yes"?>
<Relationships xmlns="http://schemas.openxmlformats.org/package/2006/relationships"><Relationship Id="rId3" Type="http://schemas.microsoft.com/office/2011/relationships/chartColorStyle" Target="colors35.xml"/><Relationship Id="rId2" Type="http://schemas.microsoft.com/office/2011/relationships/chartStyle" Target="style3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49.xml.rels><?xml version="1.0" encoding="UTF-8" standalone="yes"?>
<Relationships xmlns="http://schemas.openxmlformats.org/package/2006/relationships"><Relationship Id="rId3" Type="http://schemas.microsoft.com/office/2011/relationships/chartColorStyle" Target="colors38.xml"/><Relationship Id="rId2" Type="http://schemas.microsoft.com/office/2011/relationships/chartStyle" Target="style3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76.xml"/><Relationship Id="rId2" Type="http://schemas.microsoft.com/office/2011/relationships/chartStyle" Target="style76.xml"/><Relationship Id="rId1" Type="http://schemas.openxmlformats.org/officeDocument/2006/relationships/oleObject" Target="../embeddings/oleObject74.bin"/></Relationships>
</file>

<file path=word/charts/_rels/chart50.xml.rels><?xml version="1.0" encoding="UTF-8" standalone="yes"?>
<Relationships xmlns="http://schemas.openxmlformats.org/package/2006/relationships"><Relationship Id="rId3" Type="http://schemas.microsoft.com/office/2011/relationships/chartColorStyle" Target="colors27.xml"/><Relationship Id="rId2" Type="http://schemas.microsoft.com/office/2011/relationships/chartStyle" Target="style2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1.xml.rels><?xml version="1.0" encoding="UTF-8" standalone="yes"?>
<Relationships xmlns="http://schemas.openxmlformats.org/package/2006/relationships"><Relationship Id="rId3" Type="http://schemas.microsoft.com/office/2011/relationships/chartColorStyle" Target="colors28.xml"/><Relationship Id="rId2" Type="http://schemas.microsoft.com/office/2011/relationships/chartStyle" Target="style2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2.xml.rels><?xml version="1.0" encoding="UTF-8" standalone="yes"?>
<Relationships xmlns="http://schemas.openxmlformats.org/package/2006/relationships"><Relationship Id="rId3" Type="http://schemas.microsoft.com/office/2011/relationships/chartColorStyle" Target="colors30.xml"/><Relationship Id="rId2" Type="http://schemas.microsoft.com/office/2011/relationships/chartStyle" Target="style3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3.xml.rels><?xml version="1.0" encoding="UTF-8" standalone="yes"?>
<Relationships xmlns="http://schemas.openxmlformats.org/package/2006/relationships"><Relationship Id="rId3" Type="http://schemas.microsoft.com/office/2011/relationships/chartColorStyle" Target="colors29.xml"/><Relationship Id="rId2" Type="http://schemas.microsoft.com/office/2011/relationships/chartStyle" Target="style2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4.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5.xml.rels><?xml version="1.0" encoding="UTF-8" standalone="yes"?>
<Relationships xmlns="http://schemas.openxmlformats.org/package/2006/relationships"><Relationship Id="rId3" Type="http://schemas.microsoft.com/office/2011/relationships/chartColorStyle" Target="colors68.xml"/><Relationship Id="rId2" Type="http://schemas.microsoft.com/office/2011/relationships/chartStyle" Target="style6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6.xml.rels><?xml version="1.0" encoding="UTF-8" standalone="yes"?>
<Relationships xmlns="http://schemas.openxmlformats.org/package/2006/relationships"><Relationship Id="rId3" Type="http://schemas.microsoft.com/office/2011/relationships/chartColorStyle" Target="colors50.xml"/><Relationship Id="rId2" Type="http://schemas.microsoft.com/office/2011/relationships/chartStyle" Target="style5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7.xml.rels><?xml version="1.0" encoding="UTF-8" standalone="yes"?>
<Relationships xmlns="http://schemas.openxmlformats.org/package/2006/relationships"><Relationship Id="rId3" Type="http://schemas.microsoft.com/office/2011/relationships/chartColorStyle" Target="colors57.xml"/><Relationship Id="rId2" Type="http://schemas.microsoft.com/office/2011/relationships/chartStyle" Target="style5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8.xml.rels><?xml version="1.0" encoding="UTF-8" standalone="yes"?>
<Relationships xmlns="http://schemas.openxmlformats.org/package/2006/relationships"><Relationship Id="rId3" Type="http://schemas.microsoft.com/office/2011/relationships/chartColorStyle" Target="colors63.xml"/><Relationship Id="rId2" Type="http://schemas.microsoft.com/office/2011/relationships/chartStyle" Target="style6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59.xml.rels><?xml version="1.0" encoding="UTF-8" standalone="yes"?>
<Relationships xmlns="http://schemas.openxmlformats.org/package/2006/relationships"><Relationship Id="rId3" Type="http://schemas.microsoft.com/office/2011/relationships/chartColorStyle" Target="colors70.xml"/><Relationship Id="rId2" Type="http://schemas.microsoft.com/office/2011/relationships/chartStyle" Target="style7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77.xml"/><Relationship Id="rId2" Type="http://schemas.microsoft.com/office/2011/relationships/chartStyle" Target="style7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0.xml.rels><?xml version="1.0" encoding="UTF-8" standalone="yes"?>
<Relationships xmlns="http://schemas.openxmlformats.org/package/2006/relationships"><Relationship Id="rId3" Type="http://schemas.microsoft.com/office/2011/relationships/chartColorStyle" Target="colors71.xml"/><Relationship Id="rId2" Type="http://schemas.microsoft.com/office/2011/relationships/chartStyle" Target="style71.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1.xml.rels><?xml version="1.0" encoding="UTF-8" standalone="yes"?>
<Relationships xmlns="http://schemas.openxmlformats.org/package/2006/relationships"><Relationship Id="rId3" Type="http://schemas.microsoft.com/office/2011/relationships/chartColorStyle" Target="colors65.xml"/><Relationship Id="rId2" Type="http://schemas.microsoft.com/office/2011/relationships/chartStyle" Target="style65.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2.xml.rels><?xml version="1.0" encoding="UTF-8" standalone="yes"?>
<Relationships xmlns="http://schemas.openxmlformats.org/package/2006/relationships"><Relationship Id="rId3" Type="http://schemas.microsoft.com/office/2011/relationships/chartColorStyle" Target="colors54.xml"/><Relationship Id="rId2" Type="http://schemas.microsoft.com/office/2011/relationships/chartStyle" Target="style5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3.xml.rels><?xml version="1.0" encoding="UTF-8" standalone="yes"?>
<Relationships xmlns="http://schemas.openxmlformats.org/package/2006/relationships"><Relationship Id="rId3" Type="http://schemas.microsoft.com/office/2011/relationships/chartColorStyle" Target="colors56.xml"/><Relationship Id="rId2" Type="http://schemas.microsoft.com/office/2011/relationships/chartStyle" Target="style5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4.xml.rels><?xml version="1.0" encoding="UTF-8" standalone="yes"?>
<Relationships xmlns="http://schemas.openxmlformats.org/package/2006/relationships"><Relationship Id="rId3" Type="http://schemas.microsoft.com/office/2011/relationships/chartColorStyle" Target="colors64.xml"/><Relationship Id="rId2" Type="http://schemas.microsoft.com/office/2011/relationships/chartStyle" Target="style64.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5.xml.rels><?xml version="1.0" encoding="UTF-8" standalone="yes"?>
<Relationships xmlns="http://schemas.openxmlformats.org/package/2006/relationships"><Relationship Id="rId3" Type="http://schemas.microsoft.com/office/2011/relationships/chartColorStyle" Target="colors58.xml"/><Relationship Id="rId2" Type="http://schemas.microsoft.com/office/2011/relationships/chartStyle" Target="style5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6.xml.rels><?xml version="1.0" encoding="UTF-8" standalone="yes"?>
<Relationships xmlns="http://schemas.openxmlformats.org/package/2006/relationships"><Relationship Id="rId3" Type="http://schemas.microsoft.com/office/2011/relationships/chartColorStyle" Target="colors66.xml"/><Relationship Id="rId2" Type="http://schemas.microsoft.com/office/2011/relationships/chartStyle" Target="style66.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7.xml.rels><?xml version="1.0" encoding="UTF-8" standalone="yes"?>
<Relationships xmlns="http://schemas.openxmlformats.org/package/2006/relationships"><Relationship Id="rId3" Type="http://schemas.microsoft.com/office/2011/relationships/chartColorStyle" Target="colors67.xml"/><Relationship Id="rId2" Type="http://schemas.microsoft.com/office/2011/relationships/chartStyle" Target="style67.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8.xml.rels><?xml version="1.0" encoding="UTF-8" standalone="yes"?>
<Relationships xmlns="http://schemas.openxmlformats.org/package/2006/relationships"><Relationship Id="rId3" Type="http://schemas.microsoft.com/office/2011/relationships/chartColorStyle" Target="colors59.xml"/><Relationship Id="rId2" Type="http://schemas.microsoft.com/office/2011/relationships/chartStyle" Target="style5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69.xml.rels><?xml version="1.0" encoding="UTF-8" standalone="yes"?>
<Relationships xmlns="http://schemas.openxmlformats.org/package/2006/relationships"><Relationship Id="rId3" Type="http://schemas.microsoft.com/office/2011/relationships/chartColorStyle" Target="colors52.xml"/><Relationship Id="rId2" Type="http://schemas.microsoft.com/office/2011/relationships/chartStyle" Target="style52.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embeddings/oleObject70.bin"/></Relationships>
</file>

<file path=word/charts/_rels/chart70.xml.rels><?xml version="1.0" encoding="UTF-8" standalone="yes"?>
<Relationships xmlns="http://schemas.openxmlformats.org/package/2006/relationships"><Relationship Id="rId3" Type="http://schemas.microsoft.com/office/2011/relationships/chartColorStyle" Target="colors60.xml"/><Relationship Id="rId2" Type="http://schemas.microsoft.com/office/2011/relationships/chartStyle" Target="style60.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71.xml.rels><?xml version="1.0" encoding="UTF-8" standalone="yes"?>
<Relationships xmlns="http://schemas.openxmlformats.org/package/2006/relationships"><Relationship Id="rId3" Type="http://schemas.microsoft.com/office/2011/relationships/chartColorStyle" Target="colors69.xml"/><Relationship Id="rId2" Type="http://schemas.microsoft.com/office/2011/relationships/chartStyle" Target="style69.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72.xml.rels><?xml version="1.0" encoding="UTF-8" standalone="yes"?>
<Relationships xmlns="http://schemas.openxmlformats.org/package/2006/relationships"><Relationship Id="rId3" Type="http://schemas.microsoft.com/office/2011/relationships/chartColorStyle" Target="colors53.xml"/><Relationship Id="rId2" Type="http://schemas.microsoft.com/office/2011/relationships/chartStyle" Target="style53.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_rels/chart73.xml.rels><?xml version="1.0" encoding="UTF-8" standalone="yes"?>
<Relationships xmlns="http://schemas.openxmlformats.org/package/2006/relationships"><Relationship Id="rId4" Type="http://schemas.microsoft.com/office/2011/relationships/chartColorStyle" Target="colors49.xml"/><Relationship Id="rId3" Type="http://schemas.microsoft.com/office/2011/relationships/chartStyle" Target="style49.xml"/><Relationship Id="rId2" Type="http://schemas.openxmlformats.org/officeDocument/2006/relationships/themeOverride" Target="../theme/themeOverride1.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4" Type="http://schemas.microsoft.com/office/2011/relationships/chartColorStyle" Target="colors61.xml"/><Relationship Id="rId3" Type="http://schemas.microsoft.com/office/2011/relationships/chartStyle" Target="style61.xml"/><Relationship Id="rId2" Type="http://schemas.openxmlformats.org/officeDocument/2006/relationships/themeOverride" Target="../theme/themeOverride2.xml"/><Relationship Id="rId1"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microsoft.com/office/2011/relationships/chartColorStyle" Target="colors62.xml"/><Relationship Id="rId2" Type="http://schemas.microsoft.com/office/2011/relationships/chartStyle" Target="style62.xml"/><Relationship Id="rId1"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s>
</file>

<file path=word/charts/_rels/chart76.xml.rels><?xml version="1.0" encoding="UTF-8" standalone="yes"?>
<Relationships xmlns="http://schemas.openxmlformats.org/package/2006/relationships"><Relationship Id="rId3" Type="http://schemas.microsoft.com/office/2011/relationships/chartColorStyle" Target="colors51.xml"/><Relationship Id="rId2" Type="http://schemas.microsoft.com/office/2011/relationships/chartStyle" Target="style51.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s>
</file>

<file path=word/charts/_rels/chart77.xml.rels><?xml version="1.0" encoding="UTF-8" standalone="yes"?>
<Relationships xmlns="http://schemas.openxmlformats.org/package/2006/relationships"><Relationship Id="rId3" Type="http://schemas.microsoft.com/office/2011/relationships/chartColorStyle" Target="colors55.xml"/><Relationship Id="rId2" Type="http://schemas.microsoft.com/office/2011/relationships/chartStyle" Target="style55.xml"/><Relationship Id="rId1" Type="http://schemas.openxmlformats.org/officeDocument/2006/relationships/oleObject" Target="https://ericsson.sharepoint.com/sites/swea/Shared%25252525252525252520Documents/SWEA%25252525252525252520RAN%25252525252525252520Groups/RAN4/RAN4%25252525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s>
</file>

<file path=word/charts/_rels/chart8.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embeddings/oleObject71.bin"/></Relationships>
</file>

<file path=word/charts/_rels/chart9.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ericsson.sharepoint.com/sites/swea/Shared%2525252525252525252520Documents/SWEA%2525252525252525252520RAN%2525252525252525252520Groups/RAN4/RAN4%2525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manualLayout>
          <c:layoutTarget val="inner"/>
          <c:xMode val="edge"/>
          <c:yMode val="edge"/>
          <c:x val="0.076198344301534"/>
          <c:y val="0.125076850708407"/>
          <c:w val="0.907831905172376"/>
          <c:h val="0.65385272908944"/>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c:v>
                </c:pt>
                <c:pt idx="10">
                  <c:v>0.102177519428437</c:v>
                </c:pt>
                <c:pt idx="11">
                  <c:v>0.102161391777811</c:v>
                </c:pt>
                <c:pt idx="12">
                  <c:v>0.102148581125328</c:v>
                </c:pt>
                <c:pt idx="13">
                  <c:v>0.102138405259666</c:v>
                </c:pt>
                <c:pt idx="14">
                  <c:v>0.102130322280591</c:v>
                </c:pt>
                <c:pt idx="15">
                  <c:v>0.102123901741014</c:v>
                </c:pt>
              </c:numCache>
            </c:numRef>
          </c:val>
          <c:smooth val="0"/>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c:v>
                </c:pt>
                <c:pt idx="2">
                  <c:v>0.113288908836551</c:v>
                </c:pt>
                <c:pt idx="3">
                  <c:v>0.0911110452764041</c:v>
                </c:pt>
                <c:pt idx="4">
                  <c:v>0.0911110432899154</c:v>
                </c:pt>
                <c:pt idx="5">
                  <c:v>0.0911110417119998</c:v>
                </c:pt>
                <c:pt idx="6">
                  <c:v>0.0911110404585913</c:v>
                </c:pt>
                <c:pt idx="7">
                  <c:v>0.0911110394629877</c:v>
                </c:pt>
                <c:pt idx="8">
                  <c:v>0.0831742510157385</c:v>
                </c:pt>
                <c:pt idx="9">
                  <c:v>0.0831742510078337</c:v>
                </c:pt>
                <c:pt idx="10">
                  <c:v>0.0831742510015721</c:v>
                </c:pt>
                <c:pt idx="11">
                  <c:v>0.0831742509965872</c:v>
                </c:pt>
                <c:pt idx="12">
                  <c:v>0.0831742509926348</c:v>
                </c:pt>
                <c:pt idx="13">
                  <c:v>0.0831742509894817</c:v>
                </c:pt>
                <c:pt idx="14">
                  <c:v>0.0831742509870059</c:v>
                </c:pt>
                <c:pt idx="15">
                  <c:v>0.0831742509850075</c:v>
                </c:pt>
              </c:numCache>
            </c:numRef>
          </c:val>
          <c:smooth val="0"/>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c:v>
                </c:pt>
                <c:pt idx="1">
                  <c:v>2.09027133127906</c:v>
                </c:pt>
                <c:pt idx="2">
                  <c:v>1.76222582754083</c:v>
                </c:pt>
                <c:pt idx="3">
                  <c:v>1.43418032380259</c:v>
                </c:pt>
                <c:pt idx="4">
                  <c:v>1.24140025767943</c:v>
                </c:pt>
                <c:pt idx="5">
                  <c:v>1.04862019155626</c:v>
                </c:pt>
                <c:pt idx="6">
                  <c:v>0.939077819384104</c:v>
                </c:pt>
                <c:pt idx="7">
                  <c:v>0.829535447211949</c:v>
                </c:pt>
                <c:pt idx="8">
                  <c:v>0.653175025821134</c:v>
                </c:pt>
                <c:pt idx="9">
                  <c:v>0.47681460443032</c:v>
                </c:pt>
                <c:pt idx="10">
                  <c:v>0.355570334601119</c:v>
                </c:pt>
                <c:pt idx="11">
                  <c:v>0.234326064771917</c:v>
                </c:pt>
                <c:pt idx="12">
                  <c:v>0.195269307809298</c:v>
                </c:pt>
                <c:pt idx="13">
                  <c:v>0.156212550846679</c:v>
                </c:pt>
                <c:pt idx="14">
                  <c:v>0.120161269613023</c:v>
                </c:pt>
                <c:pt idx="15">
                  <c:v>0.0841099883793661</c:v>
                </c:pt>
              </c:numCache>
            </c:numRef>
          </c:val>
          <c:smooth val="0"/>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0.93736</c:v>
                </c:pt>
                <c:pt idx="1">
                  <c:v>0.80468</c:v>
                </c:pt>
                <c:pt idx="2">
                  <c:v>0.68448</c:v>
                </c:pt>
                <c:pt idx="3">
                  <c:v>0.62589</c:v>
                </c:pt>
                <c:pt idx="4">
                  <c:v>0.55006</c:v>
                </c:pt>
                <c:pt idx="5">
                  <c:v>0.51768</c:v>
                </c:pt>
                <c:pt idx="6">
                  <c:v>0.51064</c:v>
                </c:pt>
                <c:pt idx="7">
                  <c:v>0.49989</c:v>
                </c:pt>
                <c:pt idx="8">
                  <c:v>0.30621</c:v>
                </c:pt>
                <c:pt idx="9">
                  <c:v>0.055321</c:v>
                </c:pt>
                <c:pt idx="10">
                  <c:v>0</c:v>
                </c:pt>
              </c:numCache>
            </c:numRef>
          </c:val>
          <c:smooth val="0"/>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0.1062156</c:v>
                </c:pt>
                <c:pt idx="3">
                  <c:v>0.10401335</c:v>
                </c:pt>
                <c:pt idx="4">
                  <c:v>0.1025895</c:v>
                </c:pt>
                <c:pt idx="5">
                  <c:v>0.1014518</c:v>
                </c:pt>
                <c:pt idx="6">
                  <c:v>0.09969505</c:v>
                </c:pt>
                <c:pt idx="7">
                  <c:v>0.0989697</c:v>
                </c:pt>
                <c:pt idx="8">
                  <c:v>0.09839175</c:v>
                </c:pt>
                <c:pt idx="9">
                  <c:v>0.0979316</c:v>
                </c:pt>
                <c:pt idx="10">
                  <c:v>0.09689925</c:v>
                </c:pt>
                <c:pt idx="11">
                  <c:v>0.09590945</c:v>
                </c:pt>
                <c:pt idx="12">
                  <c:v>0.09511605</c:v>
                </c:pt>
                <c:pt idx="13">
                  <c:v>0.09448125</c:v>
                </c:pt>
                <c:pt idx="14">
                  <c:v>0.09397405</c:v>
                </c:pt>
                <c:pt idx="15">
                  <c:v>0.09356925</c:v>
                </c:pt>
                <c:pt idx="16">
                  <c:v>0.09324655</c:v>
                </c:pt>
                <c:pt idx="17">
                  <c:v>0.09298945</c:v>
                </c:pt>
                <c:pt idx="18">
                  <c:v>0.09278475</c:v>
                </c:pt>
                <c:pt idx="19">
                  <c:v>0.09262185</c:v>
                </c:pt>
                <c:pt idx="20">
                  <c:v>0.09249225</c:v>
                </c:pt>
              </c:numCache>
            </c:numRef>
          </c:val>
          <c:smooth val="0"/>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0762502726374889"/>
              <c:y val="0.243203331533017"/>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32112407517688"/>
          <c:y val="0.923848744989909"/>
          <c:w val="0.735775021586354"/>
          <c:h val="0.076151255010091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0.000469313883255662</c:v>
                </c:pt>
                <c:pt idx="1">
                  <c:v>0.000373248655594072</c:v>
                </c:pt>
                <c:pt idx="2">
                  <c:v>0.000296861683490857</c:v>
                </c:pt>
                <c:pt idx="3">
                  <c:v>0.000236134913000896</c:v>
                </c:pt>
                <c:pt idx="4">
                  <c:v>0.000187866003598103</c:v>
                </c:pt>
                <c:pt idx="5">
                  <c:v>0.000149504457924721</c:v>
                </c:pt>
                <c:pt idx="6">
                  <c:v>0.000119020037370188</c:v>
                </c:pt>
                <c:pt idx="7">
                  <c:v>9.47973373688349e-5</c:v>
                </c:pt>
                <c:pt idx="8">
                  <c:v>7.55514687811321e-5</c:v>
                </c:pt>
                <c:pt idx="9">
                  <c:v>6.02607146737988e-5</c:v>
                </c:pt>
                <c:pt idx="10">
                  <c:v>4.81128056506464e-5</c:v>
                </c:pt>
                <c:pt idx="11">
                  <c:v>3.84620959303916e-5</c:v>
                </c:pt>
                <c:pt idx="12">
                  <c:v>3.07954551748146e-5</c:v>
                </c:pt>
                <c:pt idx="13">
                  <c:v>2.47051149648847e-5</c:v>
                </c:pt>
                <c:pt idx="14">
                  <c:v>1.98670632500786e-5</c:v>
                </c:pt>
                <c:pt idx="15">
                  <c:v>1.60238586066619e-5</c:v>
                </c:pt>
                <c:pt idx="16">
                  <c:v>1.29709642027187e-5</c:v>
                </c:pt>
                <c:pt idx="17">
                  <c:v>1.05458828669747e-5</c:v>
                </c:pt>
                <c:pt idx="18">
                  <c:v>8.61952120789766e-6</c:v>
                </c:pt>
                <c:pt idx="19">
                  <c:v>7.08932550441688e-6</c:v>
                </c:pt>
                <c:pt idx="20">
                  <c:v>5.87382735783848e-6</c:v>
                </c:pt>
              </c:numCache>
            </c:numRef>
          </c:val>
          <c:smooth val="0"/>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0.00212832044983897</c:v>
                </c:pt>
                <c:pt idx="1">
                  <c:v>0.00169232161629323</c:v>
                </c:pt>
                <c:pt idx="2">
                  <c:v>0.0013457606080697</c:v>
                </c:pt>
                <c:pt idx="3">
                  <c:v>0.00107032897922788</c:v>
                </c:pt>
                <c:pt idx="4">
                  <c:v>0.000851452067525934</c:v>
                </c:pt>
                <c:pt idx="5">
                  <c:v>0.000677532709442</c:v>
                </c:pt>
                <c:pt idx="6">
                  <c:v>0.000539346235999621</c:v>
                </c:pt>
                <c:pt idx="7">
                  <c:v>0.000429557192899921</c:v>
                </c:pt>
                <c:pt idx="8">
                  <c:v>0.000342333740728566</c:v>
                </c:pt>
                <c:pt idx="9">
                  <c:v>0.000273040274641733</c:v>
                </c:pt>
                <c:pt idx="10">
                  <c:v>0.000217992575224005</c:v>
                </c:pt>
                <c:pt idx="11">
                  <c:v>0.000174262882562804</c:v>
                </c:pt>
                <c:pt idx="12">
                  <c:v>0.000139524785871851</c:v>
                </c:pt>
                <c:pt idx="13">
                  <c:v>0.000111929841027873</c:v>
                </c:pt>
                <c:pt idx="14">
                  <c:v>9.0009454527288e-5</c:v>
                </c:pt>
                <c:pt idx="15">
                  <c:v>7.25968777574519e-5</c:v>
                </c:pt>
                <c:pt idx="16">
                  <c:v>5.87652010258914e-5</c:v>
                </c:pt>
                <c:pt idx="17">
                  <c:v>4.77780728091176e-5</c:v>
                </c:pt>
                <c:pt idx="18">
                  <c:v>3.90505371930145e-5</c:v>
                </c:pt>
                <c:pt idx="19">
                  <c:v>3.21179149297781e-5</c:v>
                </c:pt>
                <c:pt idx="20">
                  <c:v>2.66110778219697e-5</c:v>
                </c:pt>
              </c:numCache>
            </c:numRef>
          </c:val>
          <c:smooth val="0"/>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0.000776818659131706</c:v>
                </c:pt>
                <c:pt idx="1">
                  <c:v>0.000633845031328129</c:v>
                </c:pt>
                <c:pt idx="2">
                  <c:v>0.000490871403524551</c:v>
                </c:pt>
                <c:pt idx="3">
                  <c:v>0.00040044215554591</c:v>
                </c:pt>
                <c:pt idx="4">
                  <c:v>0.00031001290756727</c:v>
                </c:pt>
                <c:pt idx="5">
                  <c:v>0.000252867765049292</c:v>
                </c:pt>
                <c:pt idx="6">
                  <c:v>0.000195722622531314</c:v>
                </c:pt>
                <c:pt idx="7">
                  <c:v>0.000159631137297556</c:v>
                </c:pt>
                <c:pt idx="8">
                  <c:v>0.000123539652063798</c:v>
                </c:pt>
                <c:pt idx="9">
                  <c:v>0.000100753333437398</c:v>
                </c:pt>
                <c:pt idx="10">
                  <c:v>7.79670148109979e-5</c:v>
                </c:pt>
                <c:pt idx="11">
                  <c:v>6.35841781115865e-5</c:v>
                </c:pt>
                <c:pt idx="12">
                  <c:v>4.9201341412175e-5</c:v>
                </c:pt>
                <c:pt idx="13">
                  <c:v>4.01241350089787e-5</c:v>
                </c:pt>
                <c:pt idx="14">
                  <c:v>3.10469286057824e-5</c:v>
                </c:pt>
                <c:pt idx="15">
                  <c:v>2.53187017962286e-5</c:v>
                </c:pt>
                <c:pt idx="16">
                  <c:v>1.95904749866749e-5</c:v>
                </c:pt>
                <c:pt idx="17">
                  <c:v>1.59758510198671e-5</c:v>
                </c:pt>
                <c:pt idx="18">
                  <c:v>1.23612270530593e-5</c:v>
                </c:pt>
                <c:pt idx="19">
                  <c:v>1.00804111946573e-5</c:v>
                </c:pt>
                <c:pt idx="20">
                  <c:v>7.79959533625529e-6</c:v>
                </c:pt>
              </c:numCache>
            </c:numRef>
          </c:val>
          <c:smooth val="0"/>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2.7689e-5</c:v>
                </c:pt>
                <c:pt idx="1">
                  <c:v>1.8946e-5</c:v>
                </c:pt>
                <c:pt idx="2">
                  <c:v>1.2306e-5</c:v>
                </c:pt>
                <c:pt idx="3">
                  <c:v>5.647e-6</c:v>
                </c:pt>
                <c:pt idx="4">
                  <c:v>1.421e-6</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0.000186</c:v>
                </c:pt>
                <c:pt idx="1">
                  <c:v>0.00015</c:v>
                </c:pt>
                <c:pt idx="2">
                  <c:v>0.000121</c:v>
                </c:pt>
                <c:pt idx="3">
                  <c:v>9.8e-5</c:v>
                </c:pt>
                <c:pt idx="4">
                  <c:v>8e-5</c:v>
                </c:pt>
                <c:pt idx="5">
                  <c:v>6.5e-5</c:v>
                </c:pt>
                <c:pt idx="6">
                  <c:v>5.4e-5</c:v>
                </c:pt>
                <c:pt idx="7">
                  <c:v>4.4e-5</c:v>
                </c:pt>
                <c:pt idx="8">
                  <c:v>3.7e-5</c:v>
                </c:pt>
                <c:pt idx="9">
                  <c:v>3.1e-5</c:v>
                </c:pt>
                <c:pt idx="10">
                  <c:v>2.7e-5</c:v>
                </c:pt>
                <c:pt idx="11">
                  <c:v>2.3e-5</c:v>
                </c:pt>
                <c:pt idx="12">
                  <c:v>2e-5</c:v>
                </c:pt>
                <c:pt idx="13">
                  <c:v>1.8e-5</c:v>
                </c:pt>
                <c:pt idx="14">
                  <c:v>1.6e-5</c:v>
                </c:pt>
                <c:pt idx="15">
                  <c:v>1.5e-5</c:v>
                </c:pt>
                <c:pt idx="16">
                  <c:v>1.3e-5</c:v>
                </c:pt>
                <c:pt idx="17">
                  <c:v>1.2e-5</c:v>
                </c:pt>
                <c:pt idx="18">
                  <c:v>1.2e-5</c:v>
                </c:pt>
                <c:pt idx="19">
                  <c:v>1.1e-5</c:v>
                </c:pt>
                <c:pt idx="20">
                  <c:v>1.1e-5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0.292275768411506</c:v>
                </c:pt>
                <c:pt idx="1">
                  <c:v>0.23247896540382</c:v>
                </c:pt>
                <c:pt idx="2">
                  <c:v>0.184919962124767</c:v>
                </c:pt>
                <c:pt idx="3">
                  <c:v>0.147104119508173</c:v>
                </c:pt>
                <c:pt idx="4">
                  <c:v>0.117041671780819</c:v>
                </c:pt>
                <c:pt idx="5">
                  <c:v>0.0931468970897715</c:v>
                </c:pt>
                <c:pt idx="6">
                  <c:v>0.0741569247696031</c:v>
                </c:pt>
                <c:pt idx="7">
                  <c:v>0.0590665423065939</c:v>
                </c:pt>
                <c:pt idx="8">
                  <c:v>0.0470759670874024</c:v>
                </c:pt>
                <c:pt idx="9">
                  <c:v>0.0375490789764545</c:v>
                </c:pt>
                <c:pt idx="10">
                  <c:v>0.0299800653562445</c:v>
                </c:pt>
                <c:pt idx="11">
                  <c:v>0.0239668137887208</c:v>
                </c:pt>
                <c:pt idx="12">
                  <c:v>0.0191897058909584</c:v>
                </c:pt>
                <c:pt idx="13">
                  <c:v>0.0153947277360156</c:v>
                </c:pt>
                <c:pt idx="14">
                  <c:v>0.0123800255521739</c:v>
                </c:pt>
                <c:pt idx="15">
                  <c:v>0.00998520858795582</c:v>
                </c:pt>
                <c:pt idx="16">
                  <c:v>0.00808284074214699</c:v>
                </c:pt>
                <c:pt idx="17">
                  <c:v>0.00657167496968372</c:v>
                </c:pt>
                <c:pt idx="18">
                  <c:v>0.00537127466196873</c:v>
                </c:pt>
                <c:pt idx="19">
                  <c:v>0.00441773840597119</c:v>
                </c:pt>
                <c:pt idx="20">
                  <c:v>0.00366030223992194</c:v>
                </c:pt>
              </c:numCache>
            </c:numRef>
          </c:val>
          <c:smooth val="0"/>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0.00529682725427527</c:v>
                </c:pt>
                <c:pt idx="1">
                  <c:v>0.00432441765085279</c:v>
                </c:pt>
                <c:pt idx="2">
                  <c:v>0.0033520080474303</c:v>
                </c:pt>
                <c:pt idx="3">
                  <c:v>0.0027354961389725</c:v>
                </c:pt>
                <c:pt idx="4">
                  <c:v>0.00211898423051471</c:v>
                </c:pt>
                <c:pt idx="5">
                  <c:v>0.00172879169814677</c:v>
                </c:pt>
                <c:pt idx="6">
                  <c:v>0.00133859916577883</c:v>
                </c:pt>
                <c:pt idx="7">
                  <c:v>0.00109192143833425</c:v>
                </c:pt>
                <c:pt idx="8">
                  <c:v>0.000845243710889676</c:v>
                </c:pt>
                <c:pt idx="9">
                  <c:v>0.000689407009818455</c:v>
                </c:pt>
                <c:pt idx="10">
                  <c:v>0.000533570308747233</c:v>
                </c:pt>
                <c:pt idx="11">
                  <c:v>0.000435166594536796</c:v>
                </c:pt>
                <c:pt idx="12">
                  <c:v>0.000336762880326358</c:v>
                </c:pt>
                <c:pt idx="13">
                  <c:v>0.000274643432734978</c:v>
                </c:pt>
                <c:pt idx="14">
                  <c:v>0.000212523985143598</c:v>
                </c:pt>
                <c:pt idx="15">
                  <c:v>0.000173316940532686</c:v>
                </c:pt>
                <c:pt idx="16">
                  <c:v>0.000134109895921775</c:v>
                </c:pt>
                <c:pt idx="17">
                  <c:v>0.000109367011186245</c:v>
                </c:pt>
                <c:pt idx="18">
                  <c:v>8.46241264507164e-5</c:v>
                </c:pt>
                <c:pt idx="19">
                  <c:v>6.90104651035473e-5</c:v>
                </c:pt>
                <c:pt idx="20">
                  <c:v>5.33968037563781e-5</c:v>
                </c:pt>
              </c:numCache>
            </c:numRef>
          </c:val>
          <c:smooth val="0"/>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0.00268</c:v>
                </c:pt>
                <c:pt idx="1">
                  <c:v>0.00165</c:v>
                </c:pt>
                <c:pt idx="2">
                  <c:v>0.00125</c:v>
                </c:pt>
                <c:pt idx="3">
                  <c:v>0.00089</c:v>
                </c:pt>
                <c:pt idx="4">
                  <c:v>0.00052046</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0.0536409205769596</c:v>
                </c:pt>
                <c:pt idx="1">
                  <c:v>0.0426592456482422</c:v>
                </c:pt>
                <c:pt idx="2">
                  <c:v>0.0339277127125543</c:v>
                </c:pt>
                <c:pt idx="3">
                  <c:v>0.0269866493909408</c:v>
                </c:pt>
                <c:pt idx="4">
                  <c:v>0.0214697794336768</c:v>
                </c:pt>
                <c:pt idx="5">
                  <c:v>0.0170854338847917</c:v>
                </c:pt>
                <c:pt idx="6">
                  <c:v>0.0136014728458963</c:v>
                </c:pt>
                <c:pt idx="7">
                  <c:v>0.0108332107600584</c:v>
                </c:pt>
                <c:pt idx="8">
                  <c:v>0.00863376318589526</c:v>
                </c:pt>
                <c:pt idx="9">
                  <c:v>0.00688633972297295</c:v>
                </c:pt>
                <c:pt idx="10">
                  <c:v>0.00549809722044884</c:v>
                </c:pt>
                <c:pt idx="11">
                  <c:v>0.00439524148976762</c:v>
                </c:pt>
                <c:pt idx="12">
                  <c:v>0.00351912651888895</c:v>
                </c:pt>
                <c:pt idx="13">
                  <c:v>0.00282314968717053</c:v>
                </c:pt>
                <c:pt idx="14">
                  <c:v>0.00227028157867094</c:v>
                </c:pt>
                <c:pt idx="15">
                  <c:v>0.00183110133668004</c:v>
                </c:pt>
                <c:pt idx="16">
                  <c:v>0.00148223450760584</c:v>
                </c:pt>
                <c:pt idx="17">
                  <c:v>0.00120511117693158</c:v>
                </c:pt>
                <c:pt idx="18">
                  <c:v>0.000984978890685857</c:v>
                </c:pt>
                <c:pt idx="19">
                  <c:v>0.000810118192889402</c:v>
                </c:pt>
                <c:pt idx="20">
                  <c:v>0.00067121925343765</c:v>
                </c:pt>
              </c:numCache>
            </c:numRef>
          </c:val>
          <c:smooth val="0"/>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0.0010036172052752</c:v>
                </c:pt>
                <c:pt idx="1">
                  <c:v>0.000818484350467719</c:v>
                </c:pt>
                <c:pt idx="2">
                  <c:v>0.000633351495660239</c:v>
                </c:pt>
                <c:pt idx="3">
                  <c:v>0.000516506920295035</c:v>
                </c:pt>
                <c:pt idx="4">
                  <c:v>0.00039966234492983</c:v>
                </c:pt>
                <c:pt idx="5">
                  <c:v>0.000325924994587501</c:v>
                </c:pt>
                <c:pt idx="6">
                  <c:v>0.000252187644245172</c:v>
                </c:pt>
                <c:pt idx="7">
                  <c:v>0.000205657180180063</c:v>
                </c:pt>
                <c:pt idx="8">
                  <c:v>0.000159126716114955</c:v>
                </c:pt>
                <c:pt idx="9">
                  <c:v>0.000129765850753749</c:v>
                </c:pt>
                <c:pt idx="10">
                  <c:v>0.000100404985392544</c:v>
                </c:pt>
                <c:pt idx="11">
                  <c:v>8.18786845990793e-5</c:v>
                </c:pt>
                <c:pt idx="12">
                  <c:v>6.33523838056149e-5</c:v>
                </c:pt>
                <c:pt idx="13">
                  <c:v>5.16627409963277e-5</c:v>
                </c:pt>
                <c:pt idx="14">
                  <c:v>3.99730981870405e-5</c:v>
                </c:pt>
                <c:pt idx="15">
                  <c:v>3.25972978942879e-5</c:v>
                </c:pt>
                <c:pt idx="16">
                  <c:v>2.52214976015352e-5</c:v>
                </c:pt>
                <c:pt idx="17">
                  <c:v>2.05676287057255e-5</c:v>
                </c:pt>
                <c:pt idx="18">
                  <c:v>1.59137598099157e-5</c:v>
                </c:pt>
                <c:pt idx="19">
                  <c:v>1.29773458534821e-5</c:v>
                </c:pt>
                <c:pt idx="20">
                  <c:v>1.00409318970485e-5</c:v>
                </c:pt>
              </c:numCache>
            </c:numRef>
          </c:val>
          <c:smooth val="0"/>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0.000269486</c:v>
                </c:pt>
                <c:pt idx="1">
                  <c:v>0.000178965</c:v>
                </c:pt>
                <c:pt idx="2">
                  <c:v>0.000129687</c:v>
                </c:pt>
                <c:pt idx="3">
                  <c:v>5.9687e-5</c:v>
                </c:pt>
                <c:pt idx="4">
                  <c:v>5.0763e-5</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15424102347551"/>
              <c:y val="0.283426352638666"/>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0.0035413643553972</c:v>
                </c:pt>
                <c:pt idx="1">
                  <c:v>0.00281973225613186</c:v>
                </c:pt>
                <c:pt idx="2">
                  <c:v>0.0022447389107727</c:v>
                </c:pt>
                <c:pt idx="3">
                  <c:v>0.00178687091848539</c:v>
                </c:pt>
                <c:pt idx="4">
                  <c:v>0.00142245195345891</c:v>
                </c:pt>
                <c:pt idx="5">
                  <c:v>0.00113252558232579</c:v>
                </c:pt>
                <c:pt idx="6">
                  <c:v>0.000901938385744483</c:v>
                </c:pt>
                <c:pt idx="7">
                  <c:v>0.000718592441140142</c:v>
                </c:pt>
                <c:pt idx="8">
                  <c:v>0.000572839097845446</c:v>
                </c:pt>
                <c:pt idx="9">
                  <c:v>0.000456989419617138</c:v>
                </c:pt>
                <c:pt idx="10">
                  <c:v>0.000364920164608318</c:v>
                </c:pt>
                <c:pt idx="11">
                  <c:v>0.000291757515735736</c:v>
                </c:pt>
                <c:pt idx="12">
                  <c:v>0.000233623758538748</c:v>
                </c:pt>
                <c:pt idx="13">
                  <c:v>0.000187434726439673</c:v>
                </c:pt>
                <c:pt idx="14">
                  <c:v>0.000150738056303723</c:v>
                </c:pt>
                <c:pt idx="15">
                  <c:v>0.000121584171364209</c:v>
                </c:pt>
                <c:pt idx="16">
                  <c:v>9.84234607370738e-5</c:v>
                </c:pt>
                <c:pt idx="17">
                  <c:v>8.00243882159712e-5</c:v>
                </c:pt>
                <c:pt idx="18">
                  <c:v>6.5408307492465e-5</c:v>
                </c:pt>
                <c:pt idx="19">
                  <c:v>5.37975987535688e-5</c:v>
                </c:pt>
                <c:pt idx="20">
                  <c:v>4.45744153587668e-5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0.462770152540548</c:v>
                </c:pt>
                <c:pt idx="1">
                  <c:v>0.36818056109762</c:v>
                </c:pt>
                <c:pt idx="2">
                  <c:v>0.292916748664784</c:v>
                </c:pt>
                <c:pt idx="3">
                  <c:v>0.233051229312087</c:v>
                </c:pt>
                <c:pt idx="4">
                  <c:v>0.18544693508209</c:v>
                </c:pt>
                <c:pt idx="5">
                  <c:v>0.147601007448006</c:v>
                </c:pt>
                <c:pt idx="6">
                  <c:v>0.117518393197857</c:v>
                </c:pt>
                <c:pt idx="7">
                  <c:v>0.093609960704133</c:v>
                </c:pt>
                <c:pt idx="8">
                  <c:v>0.0746106328480045</c:v>
                </c:pt>
                <c:pt idx="9">
                  <c:v>0.0595137629636477</c:v>
                </c:pt>
                <c:pt idx="10">
                  <c:v>0.0475186310811448</c:v>
                </c:pt>
                <c:pt idx="11">
                  <c:v>0.0379885002830926</c:v>
                </c:pt>
                <c:pt idx="12">
                  <c:v>0.0304171488730742</c:v>
                </c:pt>
                <c:pt idx="13">
                  <c:v>0.0244021905932423</c:v>
                </c:pt>
                <c:pt idx="14">
                  <c:v>0.0196238218699407</c:v>
                </c:pt>
                <c:pt idx="15">
                  <c:v>0.0158279020890384</c:v>
                </c:pt>
                <c:pt idx="16">
                  <c:v>0.0128124897431303</c:v>
                </c:pt>
                <c:pt idx="17">
                  <c:v>0.0104171325332025</c:v>
                </c:pt>
                <c:pt idx="18">
                  <c:v>0.00851435061076655</c:v>
                </c:pt>
                <c:pt idx="19">
                  <c:v>0.0070028654268639</c:v>
                </c:pt>
                <c:pt idx="20">
                  <c:v>0.00580221739743259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35015842143238"/>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0.0459832707098373</c:v>
                </c:pt>
                <c:pt idx="1">
                  <c:v>0.0366057025958377</c:v>
                </c:pt>
                <c:pt idx="2">
                  <c:v>0.029136369682603</c:v>
                </c:pt>
                <c:pt idx="3">
                  <c:v>0.0231902527078498</c:v>
                </c:pt>
                <c:pt idx="4">
                  <c:v>0.018458820448386</c:v>
                </c:pt>
                <c:pt idx="5">
                  <c:v>0.0146952699571323</c:v>
                </c:pt>
                <c:pt idx="6">
                  <c:v>0.0117024558932255</c:v>
                </c:pt>
                <c:pt idx="7">
                  <c:v>0.00932307792980147</c:v>
                </c:pt>
                <c:pt idx="8">
                  <c:v>0.0074317416576597</c:v>
                </c:pt>
                <c:pt idx="9">
                  <c:v>0.00592855950377613</c:v>
                </c:pt>
                <c:pt idx="10">
                  <c:v>0.00473400839651195</c:v>
                </c:pt>
                <c:pt idx="11">
                  <c:v>0.00378480720556462</c:v>
                </c:pt>
                <c:pt idx="12">
                  <c:v>0.00303061798549997</c:v>
                </c:pt>
                <c:pt idx="13">
                  <c:v>0.00243141037679084</c:v>
                </c:pt>
                <c:pt idx="14">
                  <c:v>0.00195535836772232</c:v>
                </c:pt>
                <c:pt idx="15">
                  <c:v>0.0015771634807038</c:v>
                </c:pt>
                <c:pt idx="16">
                  <c:v>0.00127671893792591</c:v>
                </c:pt>
                <c:pt idx="17">
                  <c:v>0.00103804610603886</c:v>
                </c:pt>
                <c:pt idx="18">
                  <c:v>0.000848448126455903</c:v>
                </c:pt>
                <c:pt idx="19">
                  <c:v>0.000697836634921956</c:v>
                </c:pt>
                <c:pt idx="20">
                  <c:v>0.000578196334022341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0.014339934963159</c:v>
                </c:pt>
                <c:pt idx="1">
                  <c:v>0.0135391873917312</c:v>
                </c:pt>
                <c:pt idx="2">
                  <c:v>0.0128866540036188</c:v>
                </c:pt>
                <c:pt idx="3">
                  <c:v>0.0123471091627358</c:v>
                </c:pt>
                <c:pt idx="4">
                  <c:v>0.0119082690014261</c:v>
                </c:pt>
                <c:pt idx="5">
                  <c:v>0.0115636216665438</c:v>
                </c:pt>
                <c:pt idx="6">
                  <c:v>0.011276745441724</c:v>
                </c:pt>
                <c:pt idx="7">
                  <c:v>0.0110458543365111</c:v>
                </c:pt>
                <c:pt idx="8">
                  <c:v>0.0108604797691481</c:v>
                </c:pt>
                <c:pt idx="9">
                  <c:v>0.0107119520366128</c:v>
                </c:pt>
                <c:pt idx="10">
                  <c:v>0.0105931462697884</c:v>
                </c:pt>
                <c:pt idx="11">
                  <c:v>0.01049824461824</c:v>
                </c:pt>
                <c:pt idx="12">
                  <c:v>0.0104225215899589</c:v>
                </c:pt>
                <c:pt idx="13">
                  <c:v>0.0103621555784028</c:v>
                </c:pt>
                <c:pt idx="14">
                  <c:v>0.0103140668774371</c:v>
                </c:pt>
                <c:pt idx="15">
                  <c:v>0.010275780753044</c:v>
                </c:pt>
              </c:numCache>
            </c:numRef>
          </c:val>
          <c:smooth val="0"/>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0.0166949928391724</c:v>
                </c:pt>
                <c:pt idx="1">
                  <c:v>0.015928160872114</c:v>
                </c:pt>
                <c:pt idx="2">
                  <c:v>0.0152942657009492</c:v>
                </c:pt>
                <c:pt idx="3">
                  <c:v>0.0147733613869994</c:v>
                </c:pt>
                <c:pt idx="4">
                  <c:v>0.0143475933336412</c:v>
                </c:pt>
                <c:pt idx="5">
                  <c:v>0.0140019395074908</c:v>
                </c:pt>
                <c:pt idx="6">
                  <c:v>0.0137236258178741</c:v>
                </c:pt>
                <c:pt idx="7">
                  <c:v>0.0134989301249999</c:v>
                </c:pt>
                <c:pt idx="8">
                  <c:v>0.0133180628132834</c:v>
                </c:pt>
                <c:pt idx="9">
                  <c:v>0.0131728369498818</c:v>
                </c:pt>
                <c:pt idx="10">
                  <c:v>0.0130564690848267</c:v>
                </c:pt>
                <c:pt idx="11">
                  <c:v>0.0129633823996445</c:v>
                </c:pt>
                <c:pt idx="12">
                  <c:v>0.012889021812279</c:v>
                </c:pt>
                <c:pt idx="13">
                  <c:v>0.0128296867012656</c:v>
                </c:pt>
                <c:pt idx="14">
                  <c:v>0.0127823838044883</c:v>
                </c:pt>
                <c:pt idx="15">
                  <c:v>0.0127447006500359</c:v>
                </c:pt>
              </c:numCache>
            </c:numRef>
          </c:val>
          <c:smooth val="0"/>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0.0235363680119912</c:v>
                </c:pt>
                <c:pt idx="1">
                  <c:v>0.0221281552029403</c:v>
                </c:pt>
                <c:pt idx="2">
                  <c:v>0.0209750833780487</c:v>
                </c:pt>
                <c:pt idx="3">
                  <c:v>0.0200356898722413</c:v>
                </c:pt>
                <c:pt idx="4">
                  <c:v>0.0192737251805214</c:v>
                </c:pt>
                <c:pt idx="5">
                  <c:v>0.0186579868611864</c:v>
                </c:pt>
                <c:pt idx="6">
                  <c:v>0.0181619815083915</c:v>
                </c:pt>
                <c:pt idx="7">
                  <c:v>0.0177634775588663</c:v>
                </c:pt>
                <c:pt idx="8">
                  <c:v>0.0174440053016931</c:v>
                </c:pt>
                <c:pt idx="9">
                  <c:v>0.0171883483373916</c:v>
                </c:pt>
                <c:pt idx="10">
                  <c:v>0.0169840573240088</c:v>
                </c:pt>
                <c:pt idx="11">
                  <c:v>0.0168210048262452</c:v>
                </c:pt>
                <c:pt idx="12">
                  <c:v>0.0166909906200524</c:v>
                </c:pt>
                <c:pt idx="13">
                  <c:v>0.016587400075814</c:v>
                </c:pt>
                <c:pt idx="14">
                  <c:v>0.016504913900964</c:v>
                </c:pt>
                <c:pt idx="15">
                  <c:v>0.0164392650298126</c:v>
                </c:pt>
                <c:pt idx="16">
                  <c:v>0.016387037266735</c:v>
                </c:pt>
                <c:pt idx="17">
                  <c:v>0.0163454999676239</c:v>
                </c:pt>
                <c:pt idx="18">
                  <c:v>0.0163124732426322</c:v>
                </c:pt>
                <c:pt idx="19">
                  <c:v>0.0162862186416205</c:v>
                </c:pt>
                <c:pt idx="20">
                  <c:v>0.0162653508850979</c:v>
                </c:pt>
              </c:numCache>
            </c:numRef>
          </c:val>
          <c:smooth val="0"/>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c:v>
                </c:pt>
                <c:pt idx="1">
                  <c:v>0.443917811020278</c:v>
                </c:pt>
                <c:pt idx="2">
                  <c:v>0.379173619723366</c:v>
                </c:pt>
                <c:pt idx="3">
                  <c:v>0.314429428426455</c:v>
                </c:pt>
                <c:pt idx="4">
                  <c:v>0.256010153587916</c:v>
                </c:pt>
                <c:pt idx="5">
                  <c:v>0.197590878749376</c:v>
                </c:pt>
                <c:pt idx="6">
                  <c:v>0.166824981321539</c:v>
                </c:pt>
                <c:pt idx="7">
                  <c:v>0.136059083893703</c:v>
                </c:pt>
                <c:pt idx="8">
                  <c:v>0.11414245540432</c:v>
                </c:pt>
                <c:pt idx="9">
                  <c:v>0.0922258269149379</c:v>
                </c:pt>
                <c:pt idx="10">
                  <c:v>0.080895278280313</c:v>
                </c:pt>
                <c:pt idx="11">
                  <c:v>0.0695647296456881</c:v>
                </c:pt>
                <c:pt idx="12">
                  <c:v>0.057965873070509</c:v>
                </c:pt>
                <c:pt idx="13">
                  <c:v>0.04636701649533</c:v>
                </c:pt>
                <c:pt idx="14">
                  <c:v>0.0385020165876437</c:v>
                </c:pt>
                <c:pt idx="15">
                  <c:v>0.0306370166799574</c:v>
                </c:pt>
              </c:numCache>
            </c:numRef>
          </c:val>
          <c:smooth val="0"/>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0.082739</c:v>
                </c:pt>
                <c:pt idx="1">
                  <c:v>0.077104</c:v>
                </c:pt>
                <c:pt idx="2">
                  <c:v>0.07586</c:v>
                </c:pt>
                <c:pt idx="3">
                  <c:v>0.07156</c:v>
                </c:pt>
                <c:pt idx="4">
                  <c:v>0.06765</c:v>
                </c:pt>
                <c:pt idx="5">
                  <c:v>0.06271</c:v>
                </c:pt>
                <c:pt idx="6">
                  <c:v>0.05946</c:v>
                </c:pt>
                <c:pt idx="7">
                  <c:v>0.05672</c:v>
                </c:pt>
                <c:pt idx="8">
                  <c:v>0.03568</c:v>
                </c:pt>
                <c:pt idx="9">
                  <c:v>0.01759</c:v>
                </c:pt>
                <c:pt idx="10">
                  <c:v>0</c:v>
                </c:pt>
              </c:numCache>
            </c:numRef>
          </c:val>
          <c:smooth val="0"/>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0.02602135</c:v>
                </c:pt>
                <c:pt idx="1">
                  <c:v>0.02456985</c:v>
                </c:pt>
                <c:pt idx="2">
                  <c:v>0.02339195</c:v>
                </c:pt>
                <c:pt idx="3">
                  <c:v>0.0224392</c:v>
                </c:pt>
                <c:pt idx="4">
                  <c:v>0.02167075</c:v>
                </c:pt>
                <c:pt idx="5">
                  <c:v>0.02105255</c:v>
                </c:pt>
                <c:pt idx="6">
                  <c:v>0.0205563</c:v>
                </c:pt>
                <c:pt idx="7">
                  <c:v>0.02015865</c:v>
                </c:pt>
                <c:pt idx="8">
                  <c:v>0.0198406</c:v>
                </c:pt>
                <c:pt idx="9">
                  <c:v>0.0195865</c:v>
                </c:pt>
                <c:pt idx="10">
                  <c:v>0.0193837</c:v>
                </c:pt>
                <c:pt idx="11">
                  <c:v>0.019222</c:v>
                </c:pt>
                <c:pt idx="12">
                  <c:v>0.0190932</c:v>
                </c:pt>
                <c:pt idx="13">
                  <c:v>0.01899065</c:v>
                </c:pt>
                <c:pt idx="14">
                  <c:v>0.018909</c:v>
                </c:pt>
                <c:pt idx="15">
                  <c:v>0.01884405</c:v>
                </c:pt>
                <c:pt idx="16">
                  <c:v>0.0187924</c:v>
                </c:pt>
                <c:pt idx="17">
                  <c:v>0.01875135</c:v>
                </c:pt>
                <c:pt idx="18">
                  <c:v>0.0187187</c:v>
                </c:pt>
                <c:pt idx="19">
                  <c:v>0.01869275</c:v>
                </c:pt>
                <c:pt idx="20">
                  <c:v>0.01867215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0.00216252782172521</c:v>
                </c:pt>
                <c:pt idx="1">
                  <c:v>0.00216183887872257</c:v>
                </c:pt>
                <c:pt idx="2">
                  <c:v>0.00216129163177481</c:v>
                </c:pt>
                <c:pt idx="3">
                  <c:v>0.00216085693822699</c:v>
                </c:pt>
                <c:pt idx="4">
                  <c:v>0.00216051164865227</c:v>
                </c:pt>
                <c:pt idx="5">
                  <c:v>0.00216023737545923</c:v>
                </c:pt>
                <c:pt idx="6">
                  <c:v>0.00216001951265365</c:v>
                </c:pt>
                <c:pt idx="7">
                  <c:v>0.00215984645798306</c:v>
                </c:pt>
                <c:pt idx="8">
                  <c:v>0.00215970899576368</c:v>
                </c:pt>
                <c:pt idx="9">
                  <c:v>0.00215959980564007</c:v>
                </c:pt>
                <c:pt idx="10">
                  <c:v>0.00215951307285245</c:v>
                </c:pt>
                <c:pt idx="11">
                  <c:v>0.00215944417859548</c:v>
                </c:pt>
                <c:pt idx="12">
                  <c:v>0.00215938945383742</c:v>
                </c:pt>
                <c:pt idx="13">
                  <c:v>0.00215934598454259</c:v>
                </c:pt>
                <c:pt idx="14">
                  <c:v>0.00215931145555182</c:v>
                </c:pt>
                <c:pt idx="15">
                  <c:v>0.00215928402824694</c:v>
                </c:pt>
                <c:pt idx="16">
                  <c:v>0.00215926224200746</c:v>
                </c:pt>
                <c:pt idx="17">
                  <c:v>0.00215924493647268</c:v>
                </c:pt>
                <c:pt idx="18">
                  <c:v>0.0021592311902241</c:v>
                </c:pt>
                <c:pt idx="19">
                  <c:v>0.00215922027123616</c:v>
                </c:pt>
                <c:pt idx="20">
                  <c:v>0.00202003504021775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0.00555505439510107</c:v>
                </c:pt>
                <c:pt idx="1">
                  <c:v>0.0044553219743726</c:v>
                </c:pt>
                <c:pt idx="2">
                  <c:v>0.00357620027247041</c:v>
                </c:pt>
                <c:pt idx="3">
                  <c:v>0.00287427587045697</c:v>
                </c:pt>
                <c:pt idx="4">
                  <c:v>0.00231438627703584</c:v>
                </c:pt>
                <c:pt idx="5">
                  <c:v>0.00175092552450185</c:v>
                </c:pt>
                <c:pt idx="6">
                  <c:v>0.00139534617089598</c:v>
                </c:pt>
                <c:pt idx="7">
                  <c:v>0.00111228656106688</c:v>
                </c:pt>
                <c:pt idx="8">
                  <c:v>0.00088705385258292</c:v>
                </c:pt>
                <c:pt idx="9">
                  <c:v>0.000707896859641899</c:v>
                </c:pt>
                <c:pt idx="10">
                  <c:v>0.000565429757792835</c:v>
                </c:pt>
                <c:pt idx="11">
                  <c:v>0.00045216415057725</c:v>
                </c:pt>
                <c:pt idx="12">
                  <c:v>0.000362130754671952</c:v>
                </c:pt>
                <c:pt idx="13">
                  <c:v>0.000290574602213045</c:v>
                </c:pt>
                <c:pt idx="14">
                  <c:v>0.00023371017384699</c:v>
                </c:pt>
                <c:pt idx="15">
                  <c:v>0.000188525121891381</c:v>
                </c:pt>
                <c:pt idx="16">
                  <c:v>0.000152623228288906</c:v>
                </c:pt>
                <c:pt idx="17">
                  <c:v>0.000124098940124107</c:v>
                </c:pt>
                <c:pt idx="18">
                  <c:v>0.000101437249755421</c:v>
                </c:pt>
                <c:pt idx="19">
                  <c:v>8.3433876707506e-5</c:v>
                </c:pt>
                <c:pt idx="20">
                  <c:v>6.91316772605255e-5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22299802130468"/>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c:v>
                </c:pt>
                <c:pt idx="1">
                  <c:v>0.242380354405192</c:v>
                </c:pt>
                <c:pt idx="2">
                  <c:v>0.192782718303275</c:v>
                </c:pt>
                <c:pt idx="3">
                  <c:v>0.15335067689719</c:v>
                </c:pt>
                <c:pt idx="4">
                  <c:v>0.122006432005861</c:v>
                </c:pt>
                <c:pt idx="5">
                  <c:v>0.0970947539934763</c:v>
                </c:pt>
                <c:pt idx="6">
                  <c:v>0.0772978271687652</c:v>
                </c:pt>
                <c:pt idx="7">
                  <c:v>0.061566964436377</c:v>
                </c:pt>
                <c:pt idx="8">
                  <c:v>0.0490679579170705</c:v>
                </c:pt>
                <c:pt idx="9">
                  <c:v>0.0391374108899667</c:v>
                </c:pt>
                <c:pt idx="10">
                  <c:v>0.031247887489716</c:v>
                </c:pt>
                <c:pt idx="11">
                  <c:v>0.0249801267382388</c:v>
                </c:pt>
                <c:pt idx="12">
                  <c:v>0.0200009060248085</c:v>
                </c:pt>
                <c:pt idx="13">
                  <c:v>0.0160454161642565</c:v>
                </c:pt>
                <c:pt idx="14">
                  <c:v>0.0129032353352598</c:v>
                </c:pt>
                <c:pt idx="15">
                  <c:v>0.0104071713196374</c:v>
                </c:pt>
                <c:pt idx="16">
                  <c:v>0.0084243881838697</c:v>
                </c:pt>
                <c:pt idx="17">
                  <c:v>0.00684935138922649</c:v>
                </c:pt>
                <c:pt idx="18">
                  <c:v>0.00559821975214536</c:v>
                </c:pt>
                <c:pt idx="19">
                  <c:v>0.00460438820515385</c:v>
                </c:pt>
                <c:pt idx="20">
                  <c:v>0.0038149456369041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14156922141"/>
          <c:y val="0.0298507462686567"/>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0.0555153285149324</c:v>
                </c:pt>
                <c:pt idx="1">
                  <c:v>0.0453767808045513</c:v>
                </c:pt>
                <c:pt idx="2">
                  <c:v>0.0375458967450504</c:v>
                </c:pt>
                <c:pt idx="3">
                  <c:v>0.0312925137143427</c:v>
                </c:pt>
                <c:pt idx="4">
                  <c:v>0.0263040729672981</c:v>
                </c:pt>
                <c:pt idx="5">
                  <c:v>0.0181172226945914</c:v>
                </c:pt>
                <c:pt idx="6">
                  <c:v>0.0144583827398348</c:v>
                </c:pt>
                <c:pt idx="7">
                  <c:v>0.0115384732949808</c:v>
                </c:pt>
                <c:pt idx="8">
                  <c:v>0.00921039106261956</c:v>
                </c:pt>
                <c:pt idx="9">
                  <c:v>0.00735555754090012</c:v>
                </c:pt>
                <c:pt idx="10">
                  <c:v>0.00587865783270303</c:v>
                </c:pt>
                <c:pt idx="11">
                  <c:v>0.00470325380699244</c:v>
                </c:pt>
                <c:pt idx="12">
                  <c:v>0.00376816099137978</c:v>
                </c:pt>
                <c:pt idx="13">
                  <c:v>0.00302447926663341</c:v>
                </c:pt>
                <c:pt idx="14">
                  <c:v>0.00243317452586211</c:v>
                </c:pt>
                <c:pt idx="15">
                  <c:v>0.00196311893806422</c:v>
                </c:pt>
                <c:pt idx="16">
                  <c:v>0.00158950924226131</c:v>
                </c:pt>
                <c:pt idx="17">
                  <c:v>0.00129259427188444</c:v>
                </c:pt>
                <c:pt idx="18">
                  <c:v>0.0010566538960477</c:v>
                </c:pt>
                <c:pt idx="19">
                  <c:v>0.000869181392937346</c:v>
                </c:pt>
                <c:pt idx="20">
                  <c:v>0.000720229801620675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7.30845370324004</c:v>
                </c:pt>
                <c:pt idx="2">
                  <c:v>5.8120971032802</c:v>
                </c:pt>
                <c:pt idx="3">
                  <c:v>4.64013466705192</c:v>
                </c:pt>
                <c:pt idx="4">
                  <c:v>3.87745058637247</c:v>
                </c:pt>
                <c:pt idx="5">
                  <c:v>3.01693176048116</c:v>
                </c:pt>
                <c:pt idx="6">
                  <c:v>2.29067537987108</c:v>
                </c:pt>
                <c:pt idx="7">
                  <c:v>1.75659901610672</c:v>
                </c:pt>
                <c:pt idx="8">
                  <c:v>1.38085194834943</c:v>
                </c:pt>
                <c:pt idx="9">
                  <c:v>1.07535948805658</c:v>
                </c:pt>
                <c:pt idx="10">
                  <c:v>0.903151629200183</c:v>
                </c:pt>
                <c:pt idx="11">
                  <c:v>0.730676132422137</c:v>
                </c:pt>
                <c:pt idx="12">
                  <c:v>0.620039029024311</c:v>
                </c:pt>
                <c:pt idx="13">
                  <c:v>0.483572047617809</c:v>
                </c:pt>
                <c:pt idx="14">
                  <c:v>0.441448688989055</c:v>
                </c:pt>
                <c:pt idx="15">
                  <c:v>0.366848798084607</c:v>
                </c:pt>
                <c:pt idx="16">
                  <c:v>0.34634911227549</c:v>
                </c:pt>
                <c:pt idx="17">
                  <c:v>0.286944036719694</c:v>
                </c:pt>
                <c:pt idx="18">
                  <c:v>0.245057030476981</c:v>
                </c:pt>
                <c:pt idx="19">
                  <c:v>0.187582326122959</c:v>
                </c:pt>
                <c:pt idx="20">
                  <c:v>0.152486687692177</c:v>
                </c:pt>
              </c:numCache>
            </c:numRef>
          </c:val>
          <c:smooth val="0"/>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14.7351134562582</c:v>
                </c:pt>
                <c:pt idx="1">
                  <c:v>12.6520947470989</c:v>
                </c:pt>
                <c:pt idx="2">
                  <c:v>10.7733974138517</c:v>
                </c:pt>
                <c:pt idx="3">
                  <c:v>9.1013241731857</c:v>
                </c:pt>
                <c:pt idx="4">
                  <c:v>7.63267627912111</c:v>
                </c:pt>
                <c:pt idx="5">
                  <c:v>6.35912385669281</c:v>
                </c:pt>
                <c:pt idx="6">
                  <c:v>5.26805226867211</c:v>
                </c:pt>
                <c:pt idx="7">
                  <c:v>4.34372030441151</c:v>
                </c:pt>
                <c:pt idx="8">
                  <c:v>3.568528259711</c:v>
                </c:pt>
                <c:pt idx="9">
                  <c:v>2.92421207700107</c:v>
                </c:pt>
                <c:pt idx="10">
                  <c:v>2.39283550541911</c:v>
                </c:pt>
                <c:pt idx="11">
                  <c:v>1.95751967797937</c:v>
                </c:pt>
                <c:pt idx="12">
                  <c:v>1.60290740560097</c:v>
                </c:pt>
                <c:pt idx="13">
                  <c:v>1.31539746115617</c:v>
                </c:pt>
                <c:pt idx="14">
                  <c:v>1.0832016068398</c:v>
                </c:pt>
                <c:pt idx="15">
                  <c:v>0.896279111558542</c:v>
                </c:pt>
                <c:pt idx="16">
                  <c:v>0.746196444666874</c:v>
                </c:pt>
                <c:pt idx="17">
                  <c:v>0.625949099389652</c:v>
                </c:pt>
                <c:pt idx="18">
                  <c:v>0.529771592309601</c:v>
                </c:pt>
                <c:pt idx="19">
                  <c:v>0.452952382751594</c:v>
                </c:pt>
                <c:pt idx="20">
                  <c:v>0.391663343894303</c:v>
                </c:pt>
              </c:numCache>
            </c:numRef>
          </c:val>
          <c:smooth val="0"/>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11.7608749824203</c:v>
                </c:pt>
                <c:pt idx="2">
                  <c:v>9.85783784586232</c:v>
                </c:pt>
                <c:pt idx="3">
                  <c:v>7.95480070930439</c:v>
                </c:pt>
                <c:pt idx="4">
                  <c:v>6.56665165317578</c:v>
                </c:pt>
                <c:pt idx="5">
                  <c:v>5.17850259704716</c:v>
                </c:pt>
                <c:pt idx="6">
                  <c:v>4.27853536878749</c:v>
                </c:pt>
                <c:pt idx="7">
                  <c:v>3.37856814052782</c:v>
                </c:pt>
                <c:pt idx="8">
                  <c:v>2.76187098022986</c:v>
                </c:pt>
                <c:pt idx="9">
                  <c:v>2.14517381993191</c:v>
                </c:pt>
                <c:pt idx="10">
                  <c:v>1.75425103562578</c:v>
                </c:pt>
                <c:pt idx="11">
                  <c:v>1.36332825131965</c:v>
                </c:pt>
                <c:pt idx="12">
                  <c:v>1.10400002907697</c:v>
                </c:pt>
                <c:pt idx="13">
                  <c:v>0.844671806834285</c:v>
                </c:pt>
                <c:pt idx="14">
                  <c:v>0.687454592415876</c:v>
                </c:pt>
                <c:pt idx="15">
                  <c:v>0.530237377997467</c:v>
                </c:pt>
                <c:pt idx="16">
                  <c:v>0.348288562039512</c:v>
                </c:pt>
                <c:pt idx="17">
                  <c:v>0.166339746081556</c:v>
                </c:pt>
                <c:pt idx="18">
                  <c:v>0.149601727505244</c:v>
                </c:pt>
                <c:pt idx="19">
                  <c:v>0.132863708928932</c:v>
                </c:pt>
                <c:pt idx="20">
                  <c:v>0.106213766107999</c:v>
                </c:pt>
              </c:numCache>
            </c:numRef>
          </c:val>
          <c:smooth val="0"/>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2.3621</c:v>
                </c:pt>
                <c:pt idx="3">
                  <c:v>1.62563</c:v>
                </c:pt>
                <c:pt idx="4">
                  <c:v>1.25104</c:v>
                </c:pt>
                <c:pt idx="5">
                  <c:v>1.15013</c:v>
                </c:pt>
                <c:pt idx="6">
                  <c:v>0.95954</c:v>
                </c:pt>
                <c:pt idx="7">
                  <c:v>0.51178</c:v>
                </c:pt>
                <c:pt idx="8">
                  <c:v>0.48804</c:v>
                </c:pt>
                <c:pt idx="9">
                  <c:v>0.30314</c:v>
                </c:pt>
                <c:pt idx="10">
                  <c:v>0.1777</c:v>
                </c:pt>
              </c:numCache>
            </c:numRef>
          </c:val>
          <c:smooth val="0"/>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12.314756</c:v>
                </c:pt>
                <c:pt idx="1">
                  <c:v>10.665802</c:v>
                </c:pt>
                <c:pt idx="2">
                  <c:v>9.679197</c:v>
                </c:pt>
                <c:pt idx="3">
                  <c:v>8.779181</c:v>
                </c:pt>
                <c:pt idx="4">
                  <c:v>7.511112</c:v>
                </c:pt>
                <c:pt idx="5">
                  <c:v>6.485614</c:v>
                </c:pt>
                <c:pt idx="6">
                  <c:v>5.486703</c:v>
                </c:pt>
                <c:pt idx="7">
                  <c:v>4.324376</c:v>
                </c:pt>
                <c:pt idx="8">
                  <c:v>3.494708</c:v>
                </c:pt>
                <c:pt idx="9">
                  <c:v>3.006626</c:v>
                </c:pt>
                <c:pt idx="10">
                  <c:v>2.035651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c:v>
                </c:pt>
                <c:pt idx="1">
                  <c:v>6.92079722959025</c:v>
                </c:pt>
                <c:pt idx="2">
                  <c:v>5.86258488713989</c:v>
                </c:pt>
                <c:pt idx="3">
                  <c:v>4.94074234797042</c:v>
                </c:pt>
                <c:pt idx="4">
                  <c:v>4.14405902610687</c:v>
                </c:pt>
                <c:pt idx="5">
                  <c:v>3.46085014811677</c:v>
                </c:pt>
                <c:pt idx="6">
                  <c:v>2.87930733849275</c:v>
                </c:pt>
                <c:pt idx="7">
                  <c:v>2.38781232504047</c:v>
                </c:pt>
                <c:pt idx="8">
                  <c:v>1.97520243253577</c:v>
                </c:pt>
                <c:pt idx="9">
                  <c:v>1.6309805432687</c:v>
                </c:pt>
                <c:pt idx="10">
                  <c:v>1.34546662317461</c:v>
                </c:pt>
                <c:pt idx="11">
                  <c:v>1.1098922301825</c:v>
                </c:pt>
                <c:pt idx="12">
                  <c:v>0.916443120564969</c:v>
                </c:pt>
                <c:pt idx="13">
                  <c:v>0.75825776276337</c:v>
                </c:pt>
                <c:pt idx="14">
                  <c:v>0.629391079617225</c:v>
                </c:pt>
                <c:pt idx="15">
                  <c:v>0.524753107072473</c:v>
                </c:pt>
                <c:pt idx="16">
                  <c:v>0.440031682223085</c:v>
                </c:pt>
                <c:pt idx="17">
                  <c:v>0.37160704613538</c:v>
                </c:pt>
                <c:pt idx="18">
                  <c:v>0.316464672073458</c:v>
                </c:pt>
                <c:pt idx="19">
                  <c:v>0.272110971440376</c:v>
                </c:pt>
                <c:pt idx="20">
                  <c:v>0.236494981942181</c:v>
                </c:pt>
              </c:numCache>
            </c:numRef>
          </c:val>
          <c:smooth val="0"/>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c:v>
                </c:pt>
                <c:pt idx="1">
                  <c:v>2.29579065523176</c:v>
                </c:pt>
                <c:pt idx="2">
                  <c:v>1.75345421216442</c:v>
                </c:pt>
                <c:pt idx="3">
                  <c:v>1.33543803471197</c:v>
                </c:pt>
                <c:pt idx="4">
                  <c:v>1.02599906726176</c:v>
                </c:pt>
                <c:pt idx="5">
                  <c:v>0.797861547628331</c:v>
                </c:pt>
                <c:pt idx="6">
                  <c:v>0.6193286411043</c:v>
                </c:pt>
                <c:pt idx="7">
                  <c:v>0.484628161223377</c:v>
                </c:pt>
                <c:pt idx="8">
                  <c:v>0.38269012948754</c:v>
                </c:pt>
                <c:pt idx="9">
                  <c:v>0.303279380936028</c:v>
                </c:pt>
                <c:pt idx="10">
                  <c:v>0.241158154618959</c:v>
                </c:pt>
                <c:pt idx="11">
                  <c:v>0.193485744761013</c:v>
                </c:pt>
                <c:pt idx="12">
                  <c:v>0.156553712232199</c:v>
                </c:pt>
                <c:pt idx="13">
                  <c:v>0.127341090579391</c:v>
                </c:pt>
                <c:pt idx="14">
                  <c:v>0.10405027152367</c:v>
                </c:pt>
                <c:pt idx="15">
                  <c:v>0.0856075906551346</c:v>
                </c:pt>
                <c:pt idx="16">
                  <c:v>0.0709929639145845</c:v>
                </c:pt>
                <c:pt idx="17">
                  <c:v>0.0593226022370108</c:v>
                </c:pt>
                <c:pt idx="18">
                  <c:v>0.0500253449144505</c:v>
                </c:pt>
                <c:pt idx="19">
                  <c:v>0.0426950667571036</c:v>
                </c:pt>
                <c:pt idx="20">
                  <c:v>0.0368546739306641</c:v>
                </c:pt>
              </c:numCache>
            </c:numRef>
          </c:val>
          <c:smooth val="0"/>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c:v>
                </c:pt>
                <c:pt idx="1">
                  <c:v>2.79569981678497</c:v>
                </c:pt>
                <c:pt idx="2">
                  <c:v>2.30235931411208</c:v>
                </c:pt>
                <c:pt idx="3">
                  <c:v>1.90852999174799</c:v>
                </c:pt>
                <c:pt idx="4">
                  <c:v>1.57456996659176</c:v>
                </c:pt>
                <c:pt idx="5">
                  <c:v>1.29362547648231</c:v>
                </c:pt>
                <c:pt idx="6">
                  <c:v>1.05907568418291</c:v>
                </c:pt>
                <c:pt idx="7">
                  <c:v>0.864649607594576</c:v>
                </c:pt>
                <c:pt idx="8">
                  <c:v>0.704529441194367</c:v>
                </c:pt>
                <c:pt idx="9">
                  <c:v>0.573427980355157</c:v>
                </c:pt>
                <c:pt idx="10">
                  <c:v>0.466633653705484</c:v>
                </c:pt>
                <c:pt idx="11">
                  <c:v>0.380022897769148</c:v>
                </c:pt>
                <c:pt idx="12">
                  <c:v>0.310044398775167</c:v>
                </c:pt>
                <c:pt idx="13">
                  <c:v>0.253682310340135</c:v>
                </c:pt>
                <c:pt idx="14">
                  <c:v>0.208406104874717</c:v>
                </c:pt>
                <c:pt idx="15">
                  <c:v>0.172113881046935</c:v>
                </c:pt>
                <c:pt idx="16">
                  <c:v>0.143074440688892</c:v>
                </c:pt>
                <c:pt idx="17">
                  <c:v>0.119871810152195</c:v>
                </c:pt>
                <c:pt idx="18">
                  <c:v>0.101354432437303</c:v>
                </c:pt>
                <c:pt idx="19">
                  <c:v>0.0865901296228376</c:v>
                </c:pt>
                <c:pt idx="20">
                  <c:v>0.0748271424996988</c:v>
                </c:pt>
              </c:numCache>
            </c:numRef>
          </c:val>
          <c:smooth val="0"/>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4.09850653001873</c:v>
                </c:pt>
                <c:pt idx="1">
                  <c:v>3.38650089372372</c:v>
                </c:pt>
                <c:pt idx="2">
                  <c:v>2.85892491581024</c:v>
                </c:pt>
                <c:pt idx="3">
                  <c:v>2.33134893789676</c:v>
                </c:pt>
                <c:pt idx="4">
                  <c:v>1.94990119495786</c:v>
                </c:pt>
                <c:pt idx="5">
                  <c:v>1.56845345201896</c:v>
                </c:pt>
                <c:pt idx="6">
                  <c:v>1.30152963790146</c:v>
                </c:pt>
                <c:pt idx="7">
                  <c:v>1.03460582378395</c:v>
                </c:pt>
                <c:pt idx="8">
                  <c:v>0.853774829258186</c:v>
                </c:pt>
                <c:pt idx="9">
                  <c:v>0.67294383473242</c:v>
                </c:pt>
                <c:pt idx="10">
                  <c:v>0.553080459680572</c:v>
                </c:pt>
                <c:pt idx="11">
                  <c:v>0.433217084628723</c:v>
                </c:pt>
                <c:pt idx="12">
                  <c:v>0.354987175149696</c:v>
                </c:pt>
                <c:pt idx="13">
                  <c:v>0.276757265670669</c:v>
                </c:pt>
                <c:pt idx="14">
                  <c:v>0.226458751008701</c:v>
                </c:pt>
                <c:pt idx="15">
                  <c:v>0.176160236346734</c:v>
                </c:pt>
                <c:pt idx="16">
                  <c:v>0.145835110059162</c:v>
                </c:pt>
                <c:pt idx="17">
                  <c:v>0.115509983771589</c:v>
                </c:pt>
                <c:pt idx="18">
                  <c:v>0.0930179356888716</c:v>
                </c:pt>
                <c:pt idx="19">
                  <c:v>0.0705258876061543</c:v>
                </c:pt>
                <c:pt idx="20">
                  <c:v>0.0575496791136776</c:v>
                </c:pt>
              </c:numCache>
            </c:numRef>
          </c:val>
          <c:smooth val="0"/>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c:v>
                </c:pt>
                <c:pt idx="1">
                  <c:v>1.89331</c:v>
                </c:pt>
                <c:pt idx="2">
                  <c:v>1.41334</c:v>
                </c:pt>
                <c:pt idx="3">
                  <c:v>0.98829</c:v>
                </c:pt>
                <c:pt idx="4">
                  <c:v>0.88668</c:v>
                </c:pt>
                <c:pt idx="5">
                  <c:v>0.78848</c:v>
                </c:pt>
                <c:pt idx="6">
                  <c:v>0.58237</c:v>
                </c:pt>
                <c:pt idx="7">
                  <c:v>0.38139</c:v>
                </c:pt>
                <c:pt idx="8">
                  <c:v>0.34044</c:v>
                </c:pt>
                <c:pt idx="9">
                  <c:v>0.24167</c:v>
                </c:pt>
                <c:pt idx="10">
                  <c:v>0.2344</c:v>
                </c:pt>
              </c:numCache>
            </c:numRef>
          </c:val>
          <c:smooth val="0"/>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c:v>
                </c:pt>
                <c:pt idx="1">
                  <c:v>3.426457</c:v>
                </c:pt>
                <c:pt idx="2">
                  <c:v>3.067896</c:v>
                </c:pt>
                <c:pt idx="3">
                  <c:v>2.622179</c:v>
                </c:pt>
                <c:pt idx="4">
                  <c:v>2.265901</c:v>
                </c:pt>
                <c:pt idx="5">
                  <c:v>1.989496</c:v>
                </c:pt>
                <c:pt idx="6">
                  <c:v>1.650209</c:v>
                </c:pt>
                <c:pt idx="7">
                  <c:v>1.346703</c:v>
                </c:pt>
                <c:pt idx="8">
                  <c:v>1.047875</c:v>
                </c:pt>
                <c:pt idx="9">
                  <c:v>0.782817</c:v>
                </c:pt>
                <c:pt idx="10">
                  <c:v>0.619627</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37.9595734338075</c:v>
                </c:pt>
                <c:pt idx="1">
                  <c:v>33.4470019181625</c:v>
                </c:pt>
                <c:pt idx="2">
                  <c:v>29.1660684100514</c:v>
                </c:pt>
                <c:pt idx="3">
                  <c:v>25.2077836979816</c:v>
                </c:pt>
                <c:pt idx="4">
                  <c:v>21.5600438612399</c:v>
                </c:pt>
                <c:pt idx="5">
                  <c:v>18.3345293885482</c:v>
                </c:pt>
                <c:pt idx="6">
                  <c:v>15.4076954640879</c:v>
                </c:pt>
                <c:pt idx="7">
                  <c:v>12.8168992072357</c:v>
                </c:pt>
                <c:pt idx="8">
                  <c:v>10.5338777951233</c:v>
                </c:pt>
                <c:pt idx="9">
                  <c:v>8.68156349469922</c:v>
                </c:pt>
                <c:pt idx="10">
                  <c:v>7.01855084183608</c:v>
                </c:pt>
                <c:pt idx="11">
                  <c:v>5.68284766241946</c:v>
                </c:pt>
                <c:pt idx="12">
                  <c:v>4.5731039469555</c:v>
                </c:pt>
                <c:pt idx="13">
                  <c:v>3.70081217216306</c:v>
                </c:pt>
                <c:pt idx="14">
                  <c:v>2.96688887050021</c:v>
                </c:pt>
                <c:pt idx="15">
                  <c:v>2.38038538330859</c:v>
                </c:pt>
                <c:pt idx="16">
                  <c:v>1.90207984322957</c:v>
                </c:pt>
                <c:pt idx="17">
                  <c:v>1.53043781105781</c:v>
                </c:pt>
                <c:pt idx="18">
                  <c:v>1.26834957967668</c:v>
                </c:pt>
                <c:pt idx="19">
                  <c:v>1.04131082438049</c:v>
                </c:pt>
                <c:pt idx="20">
                  <c:v>0.907613674272612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c:v>
                </c:pt>
                <c:pt idx="2">
                  <c:v>9.5675534983518</c:v>
                </c:pt>
                <c:pt idx="3">
                  <c:v>8.08312958125255</c:v>
                </c:pt>
                <c:pt idx="4">
                  <c:v>6.79427291908359</c:v>
                </c:pt>
                <c:pt idx="5">
                  <c:v>5.6846160543262</c:v>
                </c:pt>
                <c:pt idx="6">
                  <c:v>4.73691286730977</c:v>
                </c:pt>
                <c:pt idx="7">
                  <c:v>3.93368193218862</c:v>
                </c:pt>
                <c:pt idx="8">
                  <c:v>3.25775638713564</c:v>
                </c:pt>
                <c:pt idx="9">
                  <c:v>2.69272667389283</c:v>
                </c:pt>
                <c:pt idx="10">
                  <c:v>2.22327114051598</c:v>
                </c:pt>
                <c:pt idx="11">
                  <c:v>1.83537759952129</c:v>
                </c:pt>
                <c:pt idx="12">
                  <c:v>1.51646568044984</c:v>
                </c:pt>
                <c:pt idx="13">
                  <c:v>1.25542462583844</c:v>
                </c:pt>
                <c:pt idx="14">
                  <c:v>1.04258381688317</c:v>
                </c:pt>
                <c:pt idx="15">
                  <c:v>0.86963389546344</c:v>
                </c:pt>
                <c:pt idx="16">
                  <c:v>0.729515254287438</c:v>
                </c:pt>
                <c:pt idx="17">
                  <c:v>0.616288419962607</c:v>
                </c:pt>
                <c:pt idx="18">
                  <c:v>0.524997997629806</c:v>
                </c:pt>
                <c:pt idx="19">
                  <c:v>0.451538849434041</c:v>
                </c:pt>
                <c:pt idx="20">
                  <c:v>0.392530386884249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c:v>
                </c:pt>
                <c:pt idx="1">
                  <c:v>27.7625762323547</c:v>
                </c:pt>
                <c:pt idx="2">
                  <c:v>24.5623207378577</c:v>
                </c:pt>
                <c:pt idx="3">
                  <c:v>21.5566596665576</c:v>
                </c:pt>
                <c:pt idx="4">
                  <c:v>18.7126444486289</c:v>
                </c:pt>
                <c:pt idx="5">
                  <c:v>16.0390190817151</c:v>
                </c:pt>
                <c:pt idx="6">
                  <c:v>13.628836351887</c:v>
                </c:pt>
                <c:pt idx="7">
                  <c:v>11.4638137059233</c:v>
                </c:pt>
                <c:pt idx="8">
                  <c:v>9.53001648307852</c:v>
                </c:pt>
                <c:pt idx="9">
                  <c:v>7.83893583728812</c:v>
                </c:pt>
                <c:pt idx="10">
                  <c:v>6.34715353727033</c:v>
                </c:pt>
                <c:pt idx="11">
                  <c:v>5.14934698067694</c:v>
                </c:pt>
                <c:pt idx="12">
                  <c:v>4.11957608113396</c:v>
                </c:pt>
                <c:pt idx="13">
                  <c:v>3.28342638697003</c:v>
                </c:pt>
                <c:pt idx="14">
                  <c:v>2.5669505349486</c:v>
                </c:pt>
                <c:pt idx="15">
                  <c:v>2.05852269586495</c:v>
                </c:pt>
                <c:pt idx="16">
                  <c:v>1.68755887147632</c:v>
                </c:pt>
                <c:pt idx="17">
                  <c:v>1.43046230216789</c:v>
                </c:pt>
                <c:pt idx="18">
                  <c:v>1.19806277582128</c:v>
                </c:pt>
                <c:pt idx="19">
                  <c:v>1.02688058305495</c:v>
                </c:pt>
                <c:pt idx="20">
                  <c:v>0.894953653444386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4.78175357449389</c:v>
                </c:pt>
                <c:pt idx="1">
                  <c:v>4.77759306745513</c:v>
                </c:pt>
                <c:pt idx="2">
                  <c:v>4.77428796119153</c:v>
                </c:pt>
                <c:pt idx="3">
                  <c:v>4.77166243388343</c:v>
                </c:pt>
                <c:pt idx="4">
                  <c:v>4.76957678472538</c:v>
                </c:pt>
                <c:pt idx="5">
                  <c:v>4.76792001981898</c:v>
                </c:pt>
                <c:pt idx="6">
                  <c:v>4.76660395741833</c:v>
                </c:pt>
                <c:pt idx="7">
                  <c:v>4.6471955449755</c:v>
                </c:pt>
                <c:pt idx="8">
                  <c:v>3.76115551641624</c:v>
                </c:pt>
                <c:pt idx="9">
                  <c:v>3.04410652963483</c:v>
                </c:pt>
                <c:pt idx="10">
                  <c:v>2.46594358428697</c:v>
                </c:pt>
                <c:pt idx="11">
                  <c:v>2.00114979834958</c:v>
                </c:pt>
                <c:pt idx="12">
                  <c:v>1.8056922905008</c:v>
                </c:pt>
                <c:pt idx="13">
                  <c:v>1.80569229049812</c:v>
                </c:pt>
                <c:pt idx="14">
                  <c:v>1.805692290496</c:v>
                </c:pt>
                <c:pt idx="15">
                  <c:v>1.80569229049429</c:v>
                </c:pt>
              </c:numCache>
            </c:numRef>
          </c:val>
          <c:smooth val="0"/>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2.86351211097556</c:v>
                </c:pt>
                <c:pt idx="1">
                  <c:v>2.86351203078645</c:v>
                </c:pt>
                <c:pt idx="2">
                  <c:v>2.86351196708999</c:v>
                </c:pt>
                <c:pt idx="3">
                  <c:v>2.856366257378</c:v>
                </c:pt>
                <c:pt idx="4">
                  <c:v>2.85636615142878</c:v>
                </c:pt>
                <c:pt idx="5">
                  <c:v>2.85636606727034</c:v>
                </c:pt>
                <c:pt idx="6">
                  <c:v>2.53634222008515</c:v>
                </c:pt>
                <c:pt idx="7">
                  <c:v>2.53634221978863</c:v>
                </c:pt>
                <c:pt idx="8">
                  <c:v>2.43624484248659</c:v>
                </c:pt>
                <c:pt idx="9">
                  <c:v>2.38873453129532</c:v>
                </c:pt>
                <c:pt idx="10">
                  <c:v>2.38832467585551</c:v>
                </c:pt>
                <c:pt idx="11">
                  <c:v>2.38799911332199</c:v>
                </c:pt>
                <c:pt idx="12">
                  <c:v>2.38774050805193</c:v>
                </c:pt>
                <c:pt idx="13">
                  <c:v>2.38753508947529</c:v>
                </c:pt>
                <c:pt idx="14">
                  <c:v>2.38737191900021</c:v>
                </c:pt>
                <c:pt idx="15">
                  <c:v>2.38724230764331</c:v>
                </c:pt>
              </c:numCache>
            </c:numRef>
          </c:val>
          <c:smooth val="0"/>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c:v>
                </c:pt>
                <c:pt idx="1">
                  <c:v>4.72871021278078</c:v>
                </c:pt>
                <c:pt idx="2">
                  <c:v>4.43611546538873</c:v>
                </c:pt>
                <c:pt idx="3">
                  <c:v>4.20073691301803</c:v>
                </c:pt>
                <c:pt idx="4">
                  <c:v>4.01185713965673</c:v>
                </c:pt>
                <c:pt idx="5">
                  <c:v>3.86059608845529</c:v>
                </c:pt>
                <c:pt idx="6">
                  <c:v>3.73965863985569</c:v>
                </c:pt>
                <c:pt idx="7">
                  <c:v>3.64309252598844</c:v>
                </c:pt>
                <c:pt idx="8">
                  <c:v>3.56606757812832</c:v>
                </c:pt>
                <c:pt idx="9">
                  <c:v>3.50468122992073</c:v>
                </c:pt>
                <c:pt idx="10">
                  <c:v>3.4557913120363</c:v>
                </c:pt>
                <c:pt idx="11">
                  <c:v>3.4168748863798</c:v>
                </c:pt>
                <c:pt idx="12">
                  <c:v>3.38591067471406</c:v>
                </c:pt>
                <c:pt idx="13">
                  <c:v>3.36128214830523</c:v>
                </c:pt>
                <c:pt idx="14">
                  <c:v>3.34169828316477</c:v>
                </c:pt>
                <c:pt idx="15">
                  <c:v>3.32612916087655</c:v>
                </c:pt>
                <c:pt idx="16">
                  <c:v>3.31375388616168</c:v>
                </c:pt>
                <c:pt idx="17">
                  <c:v>3.30391862465908</c:v>
                </c:pt>
                <c:pt idx="18">
                  <c:v>3.29610289483765</c:v>
                </c:pt>
                <c:pt idx="19">
                  <c:v>3.28989255376418</c:v>
                </c:pt>
                <c:pt idx="20">
                  <c:v>3.28495818740913</c:v>
                </c:pt>
              </c:numCache>
            </c:numRef>
          </c:val>
          <c:smooth val="0"/>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3.64795693114456</c:v>
                </c:pt>
                <c:pt idx="2">
                  <c:v>2.94118119331138</c:v>
                </c:pt>
                <c:pt idx="3">
                  <c:v>2.23440545547819</c:v>
                </c:pt>
                <c:pt idx="4">
                  <c:v>1.80690809704945</c:v>
                </c:pt>
                <c:pt idx="5">
                  <c:v>1.37941073862071</c:v>
                </c:pt>
                <c:pt idx="6">
                  <c:v>1.37941073862071</c:v>
                </c:pt>
                <c:pt idx="7">
                  <c:v>1.37941073862071</c:v>
                </c:pt>
                <c:pt idx="8">
                  <c:v>0.952190123122026</c:v>
                </c:pt>
                <c:pt idx="9">
                  <c:v>0.524969507623341</c:v>
                </c:pt>
                <c:pt idx="10">
                  <c:v>0.524969507623341</c:v>
                </c:pt>
                <c:pt idx="11">
                  <c:v>0.524969507623341</c:v>
                </c:pt>
                <c:pt idx="12">
                  <c:v>0.384725357894711</c:v>
                </c:pt>
                <c:pt idx="13">
                  <c:v>0.244481208166081</c:v>
                </c:pt>
                <c:pt idx="14">
                  <c:v>0.176220222213208</c:v>
                </c:pt>
                <c:pt idx="15">
                  <c:v>0.107959236260335</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c:v>
                </c:pt>
                <c:pt idx="2">
                  <c:v>7.70267880933331</c:v>
                </c:pt>
                <c:pt idx="3">
                  <c:v>6.59199230654842</c:v>
                </c:pt>
                <c:pt idx="4">
                  <c:v>5.61393279574635</c:v>
                </c:pt>
                <c:pt idx="5">
                  <c:v>4.75892767332957</c:v>
                </c:pt>
                <c:pt idx="6">
                  <c:v>4.01684754087628</c:v>
                </c:pt>
                <c:pt idx="7">
                  <c:v>3.37730473897705</c:v>
                </c:pt>
                <c:pt idx="8">
                  <c:v>2.82992032627245</c:v>
                </c:pt>
                <c:pt idx="9">
                  <c:v>2.36455246156287</c:v>
                </c:pt>
                <c:pt idx="10">
                  <c:v>1.97148260797017</c:v>
                </c:pt>
                <c:pt idx="11">
                  <c:v>1.64155904233463</c:v>
                </c:pt>
                <c:pt idx="12">
                  <c:v>1.36629954012861</c:v>
                </c:pt>
                <c:pt idx="13">
                  <c:v>1.13795673881988</c:v>
                </c:pt>
                <c:pt idx="14">
                  <c:v>0.94955064273422</c:v>
                </c:pt>
                <c:pt idx="15">
                  <c:v>0.79487318200967</c:v>
                </c:pt>
                <c:pt idx="16">
                  <c:v>0.668469848302777</c:v>
                </c:pt>
                <c:pt idx="17">
                  <c:v>0.565603335509812</c:v>
                </c:pt>
                <c:pt idx="18">
                  <c:v>0.482203895020461</c:v>
                </c:pt>
                <c:pt idx="19">
                  <c:v>0.414810799847976</c:v>
                </c:pt>
                <c:pt idx="20">
                  <c:v>0.36050889616478</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49.222481277433</c:v>
                </c:pt>
                <c:pt idx="1">
                  <c:v>44.5556709698493</c:v>
                </c:pt>
                <c:pt idx="2">
                  <c:v>39.9686983426153</c:v>
                </c:pt>
                <c:pt idx="3">
                  <c:v>35.5010180232106</c:v>
                </c:pt>
                <c:pt idx="4">
                  <c:v>31.3428908147353</c:v>
                </c:pt>
                <c:pt idx="5">
                  <c:v>27.3712152986893</c:v>
                </c:pt>
                <c:pt idx="6">
                  <c:v>23.6527487735453</c:v>
                </c:pt>
                <c:pt idx="7">
                  <c:v>20.2066163873332</c:v>
                </c:pt>
                <c:pt idx="8">
                  <c:v>17.1714510331424</c:v>
                </c:pt>
                <c:pt idx="9">
                  <c:v>14.3874299613384</c:v>
                </c:pt>
                <c:pt idx="10">
                  <c:v>11.9327416136693</c:v>
                </c:pt>
                <c:pt idx="11">
                  <c:v>9.82837281189306</c:v>
                </c:pt>
                <c:pt idx="12">
                  <c:v>8.09374120830331</c:v>
                </c:pt>
                <c:pt idx="13">
                  <c:v>6.60986264654098</c:v>
                </c:pt>
                <c:pt idx="14">
                  <c:v>5.35012876863552</c:v>
                </c:pt>
                <c:pt idx="15">
                  <c:v>4.31163055056875</c:v>
                </c:pt>
                <c:pt idx="16">
                  <c:v>3.5204877292736</c:v>
                </c:pt>
                <c:pt idx="17">
                  <c:v>2.85014842858194</c:v>
                </c:pt>
                <c:pt idx="18">
                  <c:v>2.31589515829764</c:v>
                </c:pt>
                <c:pt idx="19">
                  <c:v>1.91960791201332</c:v>
                </c:pt>
                <c:pt idx="20">
                  <c:v>1.61892658407751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16.4433023924347</c:v>
                </c:pt>
                <c:pt idx="1">
                  <c:v>14.2742230790024</c:v>
                </c:pt>
                <c:pt idx="2">
                  <c:v>12.3210525790949</c:v>
                </c:pt>
                <c:pt idx="3">
                  <c:v>10.5769628552072</c:v>
                </c:pt>
                <c:pt idx="4">
                  <c:v>9.03229508505828</c:v>
                </c:pt>
                <c:pt idx="5">
                  <c:v>7.67517611825174</c:v>
                </c:pt>
                <c:pt idx="6">
                  <c:v>6.49213023509454</c:v>
                </c:pt>
                <c:pt idx="7">
                  <c:v>5.46865877735063</c:v>
                </c:pt>
                <c:pt idx="8">
                  <c:v>4.58976606892565</c:v>
                </c:pt>
                <c:pt idx="9">
                  <c:v>3.84041677257637</c:v>
                </c:pt>
                <c:pt idx="10">
                  <c:v>3.20591660083345</c:v>
                </c:pt>
                <c:pt idx="11">
                  <c:v>2.67221430747984</c:v>
                </c:pt>
                <c:pt idx="12">
                  <c:v>2.22612760775736</c:v>
                </c:pt>
                <c:pt idx="13">
                  <c:v>1.85549895760802</c:v>
                </c:pt>
                <c:pt idx="14">
                  <c:v>1.54928910554132</c:v>
                </c:pt>
                <c:pt idx="15">
                  <c:v>1.2976173093655</c:v>
                </c:pt>
                <c:pt idx="16">
                  <c:v>1.09175740265418</c:v>
                </c:pt>
                <c:pt idx="17">
                  <c:v>0.924098761833525</c:v>
                </c:pt>
                <c:pt idx="18">
                  <c:v>0.78808082727968</c:v>
                </c:pt>
                <c:pt idx="19">
                  <c:v>0.678109240496927</c:v>
                </c:pt>
                <c:pt idx="20">
                  <c:v>0.589460883442616</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c:v>
                </c:pt>
                <c:pt idx="1">
                  <c:v>1.18140792287185</c:v>
                </c:pt>
                <c:pt idx="2">
                  <c:v>1.18119697880358</c:v>
                </c:pt>
                <c:pt idx="3">
                  <c:v>1.16420838371971</c:v>
                </c:pt>
                <c:pt idx="4">
                  <c:v>1.11859929555466</c:v>
                </c:pt>
                <c:pt idx="5">
                  <c:v>1.116661980558</c:v>
                </c:pt>
                <c:pt idx="6">
                  <c:v>1.11069649180855</c:v>
                </c:pt>
                <c:pt idx="7">
                  <c:v>1.09685942770789</c:v>
                </c:pt>
                <c:pt idx="8">
                  <c:v>1.09561421323905</c:v>
                </c:pt>
                <c:pt idx="9">
                  <c:v>1.090454105917</c:v>
                </c:pt>
                <c:pt idx="10">
                  <c:v>1.08125576501444</c:v>
                </c:pt>
                <c:pt idx="11">
                  <c:v>1.08116101297141</c:v>
                </c:pt>
                <c:pt idx="12">
                  <c:v>1.08108574861042</c:v>
                </c:pt>
                <c:pt idx="13">
                  <c:v>1.08049615671998</c:v>
                </c:pt>
                <c:pt idx="14">
                  <c:v>1.07936699993199</c:v>
                </c:pt>
              </c:numCache>
            </c:numRef>
          </c:val>
          <c:smooth val="0"/>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c:v>
                </c:pt>
                <c:pt idx="1">
                  <c:v>0.446474065310853</c:v>
                </c:pt>
                <c:pt idx="2">
                  <c:v>0.445847887971185</c:v>
                </c:pt>
                <c:pt idx="3">
                  <c:v>0.445350491527852</c:v>
                </c:pt>
                <c:pt idx="4">
                  <c:v>0.44495539163848</c:v>
                </c:pt>
                <c:pt idx="5">
                  <c:v>0.444641550211311</c:v>
                </c:pt>
                <c:pt idx="6">
                  <c:v>0.444392255571524</c:v>
                </c:pt>
                <c:pt idx="7">
                  <c:v>0.444194232833139</c:v>
                </c:pt>
                <c:pt idx="8">
                  <c:v>0.444036937170611</c:v>
                </c:pt>
                <c:pt idx="9">
                  <c:v>0.443911992399604</c:v>
                </c:pt>
                <c:pt idx="10">
                  <c:v>0.443812744997263</c:v>
                </c:pt>
                <c:pt idx="11">
                  <c:v>0.443733909830057</c:v>
                </c:pt>
                <c:pt idx="12">
                  <c:v>0.443671288734104</c:v>
                </c:pt>
                <c:pt idx="13">
                  <c:v>0.44362154696852</c:v>
                </c:pt>
                <c:pt idx="14">
                  <c:v>0.44358203564111</c:v>
                </c:pt>
              </c:numCache>
            </c:numRef>
          </c:val>
          <c:smooth val="0"/>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1.13424802398525</c:v>
                </c:pt>
                <c:pt idx="1">
                  <c:v>1.08796031370186</c:v>
                </c:pt>
                <c:pt idx="2">
                  <c:v>1.05115955471885</c:v>
                </c:pt>
                <c:pt idx="3">
                  <c:v>1.02190674602796</c:v>
                </c:pt>
                <c:pt idx="4">
                  <c:v>0.998657196646999</c:v>
                </c:pt>
                <c:pt idx="5">
                  <c:v>0.980181076633503</c:v>
                </c:pt>
                <c:pt idx="6">
                  <c:v>0.965499703133593</c:v>
                </c:pt>
                <c:pt idx="7">
                  <c:v>0.953834546962304</c:v>
                </c:pt>
                <c:pt idx="8">
                  <c:v>0.944566484201564</c:v>
                </c:pt>
                <c:pt idx="9">
                  <c:v>0.937203274921111</c:v>
                </c:pt>
                <c:pt idx="10">
                  <c:v>0.931353633436712</c:v>
                </c:pt>
                <c:pt idx="11">
                  <c:v>0.926706570166833</c:v>
                </c:pt>
                <c:pt idx="12">
                  <c:v>0.923014943481493</c:v>
                </c:pt>
                <c:pt idx="13">
                  <c:v>0.920082369960532</c:v>
                </c:pt>
                <c:pt idx="14">
                  <c:v>0.917752811363469</c:v>
                </c:pt>
                <c:pt idx="15">
                  <c:v>0.915902293492743</c:v>
                </c:pt>
                <c:pt idx="16">
                  <c:v>0.914432322082881</c:v>
                </c:pt>
                <c:pt idx="17">
                  <c:v>0.91326464896126</c:v>
                </c:pt>
                <c:pt idx="18">
                  <c:v>0.91233711220337</c:v>
                </c:pt>
                <c:pt idx="19">
                  <c:v>0.9116003302993</c:v>
                </c:pt>
                <c:pt idx="20">
                  <c:v>0.911015075258019</c:v>
                </c:pt>
              </c:numCache>
            </c:numRef>
          </c:val>
          <c:smooth val="0"/>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0.0279978459999719</c:v>
                </c:pt>
                <c:pt idx="1">
                  <c:v>0.0242172392879547</c:v>
                </c:pt>
                <c:pt idx="2">
                  <c:v>0.0204366325759375</c:v>
                </c:pt>
                <c:pt idx="3">
                  <c:v>0.0208151598468764</c:v>
                </c:pt>
                <c:pt idx="4">
                  <c:v>0.0211936871178153</c:v>
                </c:pt>
                <c:pt idx="5">
                  <c:v>0.0172841060880891</c:v>
                </c:pt>
                <c:pt idx="6">
                  <c:v>0.0133745250583628</c:v>
                </c:pt>
                <c:pt idx="7">
                  <c:v>0.010907080472794</c:v>
                </c:pt>
                <c:pt idx="8">
                  <c:v>0.00843963588722518</c:v>
                </c:pt>
                <c:pt idx="9">
                  <c:v>0.00511075652537274</c:v>
                </c:pt>
                <c:pt idx="10">
                  <c:v>0.0017818771635203</c:v>
                </c:pt>
                <c:pt idx="11">
                  <c:v>0.00145309053865006</c:v>
                </c:pt>
                <c:pt idx="12">
                  <c:v>0.00112430391377982</c:v>
                </c:pt>
                <c:pt idx="13">
                  <c:v>0.000916848934356951</c:v>
                </c:pt>
                <c:pt idx="14">
                  <c:v>0.000709393954934079</c:v>
                </c:pt>
              </c:numCache>
            </c:numRef>
          </c:val>
          <c:smooth val="0"/>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c:v>
                </c:pt>
                <c:pt idx="1">
                  <c:v>0.5071</c:v>
                </c:pt>
                <c:pt idx="2">
                  <c:v>0.41334</c:v>
                </c:pt>
                <c:pt idx="3">
                  <c:v>0.40871</c:v>
                </c:pt>
                <c:pt idx="4">
                  <c:v>0.31313</c:v>
                </c:pt>
                <c:pt idx="5">
                  <c:v>0.30478</c:v>
                </c:pt>
                <c:pt idx="6">
                  <c:v>0.29602</c:v>
                </c:pt>
                <c:pt idx="7">
                  <c:v>0.27195</c:v>
                </c:pt>
                <c:pt idx="8">
                  <c:v>0.24527</c:v>
                </c:pt>
                <c:pt idx="9">
                  <c:v>0.23587</c:v>
                </c:pt>
                <c:pt idx="10">
                  <c:v>0.22464</c:v>
                </c:pt>
              </c:numCache>
            </c:numRef>
          </c:val>
          <c:smooth val="0"/>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c:v>
                </c:pt>
                <c:pt idx="1">
                  <c:v>0.30417</c:v>
                </c:pt>
                <c:pt idx="2">
                  <c:v>0.293375</c:v>
                </c:pt>
                <c:pt idx="3">
                  <c:v>0.28671</c:v>
                </c:pt>
                <c:pt idx="4">
                  <c:v>0.27938</c:v>
                </c:pt>
                <c:pt idx="5">
                  <c:v>0.27462</c:v>
                </c:pt>
                <c:pt idx="6">
                  <c:v>0.274185</c:v>
                </c:pt>
                <c:pt idx="7">
                  <c:v>0.272265</c:v>
                </c:pt>
                <c:pt idx="8">
                  <c:v>0.27119</c:v>
                </c:pt>
                <c:pt idx="9">
                  <c:v>0.27066</c:v>
                </c:pt>
                <c:pt idx="10">
                  <c:v>0.27028</c:v>
                </c:pt>
                <c:pt idx="11">
                  <c:v>0.26969</c:v>
                </c:pt>
                <c:pt idx="12">
                  <c:v>0.269365</c:v>
                </c:pt>
                <c:pt idx="13">
                  <c:v>0.269105</c:v>
                </c:pt>
                <c:pt idx="14">
                  <c:v>0.268695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0.403443016359695</c:v>
                </c:pt>
                <c:pt idx="1">
                  <c:v>0.389057175903007</c:v>
                </c:pt>
                <c:pt idx="2">
                  <c:v>0.377532716402751</c:v>
                </c:pt>
                <c:pt idx="3">
                  <c:v>0.3683153607281</c:v>
                </c:pt>
                <c:pt idx="4">
                  <c:v>0.360953009691867</c:v>
                </c:pt>
                <c:pt idx="5">
                  <c:v>0.355078709471346</c:v>
                </c:pt>
                <c:pt idx="6">
                  <c:v>0.350395828114813</c:v>
                </c:pt>
                <c:pt idx="7">
                  <c:v>0.346665384551359</c:v>
                </c:pt>
                <c:pt idx="8">
                  <c:v>0.343695373764208</c:v>
                </c:pt>
                <c:pt idx="9">
                  <c:v>0.341331878443363</c:v>
                </c:pt>
                <c:pt idx="10">
                  <c:v>0.339451737649799</c:v>
                </c:pt>
                <c:pt idx="11">
                  <c:v>0.337956545421736</c:v>
                </c:pt>
                <c:pt idx="12">
                  <c:v>0.336767767843971</c:v>
                </c:pt>
                <c:pt idx="13">
                  <c:v>0.335822789432916</c:v>
                </c:pt>
                <c:pt idx="14">
                  <c:v>0.335071724403901</c:v>
                </c:pt>
              </c:numCache>
            </c:numRef>
          </c:val>
          <c:smooth val="0"/>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c:v>
                </c:pt>
                <c:pt idx="2">
                  <c:v>0.139487194776</c:v>
                </c:pt>
                <c:pt idx="3">
                  <c:v>0.13627181378727</c:v>
                </c:pt>
                <c:pt idx="4">
                  <c:v>0.133702048892459</c:v>
                </c:pt>
                <c:pt idx="5">
                  <c:v>0.131650622162627</c:v>
                </c:pt>
                <c:pt idx="6">
                  <c:v>0.130014536982959</c:v>
                </c:pt>
                <c:pt idx="7">
                  <c:v>0.128710719601477</c:v>
                </c:pt>
                <c:pt idx="8">
                  <c:v>0.127672352461627</c:v>
                </c:pt>
                <c:pt idx="9">
                  <c:v>0.126845818854759</c:v>
                </c:pt>
                <c:pt idx="10">
                  <c:v>0.126188178304854</c:v>
                </c:pt>
                <c:pt idx="11">
                  <c:v>0.125665095478988</c:v>
                </c:pt>
                <c:pt idx="12">
                  <c:v>0.12524915141805</c:v>
                </c:pt>
                <c:pt idx="13">
                  <c:v>0.124918473415114</c:v>
                </c:pt>
                <c:pt idx="14">
                  <c:v>0.124655627989656</c:v>
                </c:pt>
              </c:numCache>
            </c:numRef>
          </c:val>
          <c:smooth val="0"/>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0.175263519024531</c:v>
                </c:pt>
                <c:pt idx="2">
                  <c:v>0.169406929121017</c:v>
                </c:pt>
                <c:pt idx="3">
                  <c:v>0.164748088497602</c:v>
                </c:pt>
                <c:pt idx="4">
                  <c:v>0.161043144925981</c:v>
                </c:pt>
                <c:pt idx="5">
                  <c:v>0.158097487025777</c:v>
                </c:pt>
                <c:pt idx="6">
                  <c:v>0.155755950348822</c:v>
                </c:pt>
                <c:pt idx="7">
                  <c:v>0.153894916330383</c:v>
                </c:pt>
                <c:pt idx="8">
                  <c:v>0.152415958820206</c:v>
                </c:pt>
                <c:pt idx="9">
                  <c:v>0.151240748072878</c:v>
                </c:pt>
                <c:pt idx="10">
                  <c:v>0.150306971550941</c:v>
                </c:pt>
                <c:pt idx="11">
                  <c:v>0.149565073855822</c:v>
                </c:pt>
                <c:pt idx="12">
                  <c:v>0.148975654587612</c:v>
                </c:pt>
                <c:pt idx="13">
                  <c:v>0.148507393430906</c:v>
                </c:pt>
                <c:pt idx="14">
                  <c:v>0.148135396955858</c:v>
                </c:pt>
                <c:pt idx="15">
                  <c:v>0.147839882251399</c:v>
                </c:pt>
                <c:pt idx="16">
                  <c:v>0.147605129285522</c:v>
                </c:pt>
                <c:pt idx="17">
                  <c:v>0.147418647464099</c:v>
                </c:pt>
                <c:pt idx="18">
                  <c:v>0.147270512801934</c:v>
                </c:pt>
                <c:pt idx="19">
                  <c:v>0.147152840911944</c:v>
                </c:pt>
                <c:pt idx="20">
                  <c:v>0.14705936806538</c:v>
                </c:pt>
              </c:numCache>
            </c:numRef>
          </c:val>
          <c:smooth val="0"/>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0.0301394677824418</c:v>
                </c:pt>
                <c:pt idx="1">
                  <c:v>0.0246552921222165</c:v>
                </c:pt>
                <c:pt idx="2">
                  <c:v>0.0191711164619912</c:v>
                </c:pt>
                <c:pt idx="3">
                  <c:v>0.0175255259145968</c:v>
                </c:pt>
                <c:pt idx="4">
                  <c:v>0.0158799353672023</c:v>
                </c:pt>
                <c:pt idx="5">
                  <c:v>0.0129721835032959</c:v>
                </c:pt>
                <c:pt idx="6">
                  <c:v>0.0100644316393894</c:v>
                </c:pt>
                <c:pt idx="7">
                  <c:v>0.00821641758290137</c:v>
                </c:pt>
                <c:pt idx="8">
                  <c:v>0.00636840352641332</c:v>
                </c:pt>
                <c:pt idx="9">
                  <c:v>0.0047220111194124</c:v>
                </c:pt>
                <c:pt idx="10">
                  <c:v>0.00307561871241147</c:v>
                </c:pt>
                <c:pt idx="11">
                  <c:v>0.00250894724554418</c:v>
                </c:pt>
                <c:pt idx="12">
                  <c:v>0.00194227577867689</c:v>
                </c:pt>
                <c:pt idx="13">
                  <c:v>0.00158422252528045</c:v>
                </c:pt>
                <c:pt idx="14">
                  <c:v>0.00122616927188401</c:v>
                </c:pt>
              </c:numCache>
            </c:numRef>
          </c:val>
          <c:smooth val="0"/>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0.08633</c:v>
                </c:pt>
                <c:pt idx="1">
                  <c:v>0.079682</c:v>
                </c:pt>
                <c:pt idx="2">
                  <c:v>0.075489</c:v>
                </c:pt>
                <c:pt idx="3">
                  <c:v>0.071095</c:v>
                </c:pt>
                <c:pt idx="4">
                  <c:v>0.062057</c:v>
                </c:pt>
                <c:pt idx="5">
                  <c:v>0.057801</c:v>
                </c:pt>
                <c:pt idx="6">
                  <c:v>0.045876</c:v>
                </c:pt>
                <c:pt idx="7">
                  <c:v>0.042005</c:v>
                </c:pt>
                <c:pt idx="8">
                  <c:v>0.038359</c:v>
                </c:pt>
                <c:pt idx="9">
                  <c:v>0.038085</c:v>
                </c:pt>
                <c:pt idx="10">
                  <c:v>0.001773</c:v>
                </c:pt>
              </c:numCache>
            </c:numRef>
          </c:val>
          <c:smooth val="0"/>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0.065736</c:v>
                </c:pt>
                <c:pt idx="1">
                  <c:v>0.060834</c:v>
                </c:pt>
                <c:pt idx="2">
                  <c:v>0.058675</c:v>
                </c:pt>
                <c:pt idx="3">
                  <c:v>0.055342</c:v>
                </c:pt>
                <c:pt idx="4">
                  <c:v>0.053656</c:v>
                </c:pt>
                <c:pt idx="5">
                  <c:v>0.052924</c:v>
                </c:pt>
                <c:pt idx="6">
                  <c:v>0.052837</c:v>
                </c:pt>
                <c:pt idx="7">
                  <c:v>0.052453</c:v>
                </c:pt>
                <c:pt idx="8">
                  <c:v>0.052238</c:v>
                </c:pt>
                <c:pt idx="9">
                  <c:v>0.052132</c:v>
                </c:pt>
                <c:pt idx="10">
                  <c:v>0.052056</c:v>
                </c:pt>
                <c:pt idx="11">
                  <c:v>0.051938</c:v>
                </c:pt>
                <c:pt idx="12">
                  <c:v>0.051873</c:v>
                </c:pt>
                <c:pt idx="13">
                  <c:v>0.051821</c:v>
                </c:pt>
                <c:pt idx="14">
                  <c:v>0.051739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c:v>
                </c:pt>
                <c:pt idx="3">
                  <c:v>1.0139720347805</c:v>
                </c:pt>
                <c:pt idx="4">
                  <c:v>0.997782384226453</c:v>
                </c:pt>
                <c:pt idx="5">
                  <c:v>0.986224019035409</c:v>
                </c:pt>
                <c:pt idx="6">
                  <c:v>0.977040786392946</c:v>
                </c:pt>
                <c:pt idx="7">
                  <c:v>0.937891204518038</c:v>
                </c:pt>
                <c:pt idx="8">
                  <c:v>0.930802433815181</c:v>
                </c:pt>
                <c:pt idx="9">
                  <c:v>0.915828948246866</c:v>
                </c:pt>
                <c:pt idx="10">
                  <c:v>0.907962338225499</c:v>
                </c:pt>
                <c:pt idx="11">
                  <c:v>0.906752428771251</c:v>
                </c:pt>
                <c:pt idx="12">
                  <c:v>0.905791340574336</c:v>
                </c:pt>
                <c:pt idx="13">
                  <c:v>0.90502790659871</c:v>
                </c:pt>
                <c:pt idx="14">
                  <c:v>0.904421480297069</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c:v>
                </c:pt>
                <c:pt idx="1">
                  <c:v>0.558786550795631</c:v>
                </c:pt>
                <c:pt idx="2">
                  <c:v>0.542550632585348</c:v>
                </c:pt>
                <c:pt idx="3">
                  <c:v>0.529554450588587</c:v>
                </c:pt>
                <c:pt idx="4">
                  <c:v>0.51916690303343</c:v>
                </c:pt>
                <c:pt idx="5">
                  <c:v>0.510874413096618</c:v>
                </c:pt>
                <c:pt idx="6">
                  <c:v>0.504260944663715</c:v>
                </c:pt>
                <c:pt idx="7">
                  <c:v>0.498990743494721</c:v>
                </c:pt>
                <c:pt idx="8">
                  <c:v>0.494793680196604</c:v>
                </c:pt>
                <c:pt idx="9">
                  <c:v>0.49145296914429</c:v>
                </c:pt>
                <c:pt idx="10">
                  <c:v>0.488794988561669</c:v>
                </c:pt>
                <c:pt idx="11">
                  <c:v>0.486680914794557</c:v>
                </c:pt>
                <c:pt idx="12">
                  <c:v>0.484999894746763</c:v>
                </c:pt>
                <c:pt idx="13">
                  <c:v>0.483663504299614</c:v>
                </c:pt>
                <c:pt idx="14">
                  <c:v>0.482601270241423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c:v>
                </c:pt>
                <c:pt idx="1">
                  <c:v>0.23200151369841</c:v>
                </c:pt>
                <c:pt idx="2">
                  <c:v>0.232001505569968</c:v>
                </c:pt>
                <c:pt idx="3">
                  <c:v>0.180480565295693</c:v>
                </c:pt>
                <c:pt idx="4">
                  <c:v>0.156575288680327</c:v>
                </c:pt>
                <c:pt idx="5">
                  <c:v>0.156575269762038</c:v>
                </c:pt>
                <c:pt idx="6">
                  <c:v>0.156575254734714</c:v>
                </c:pt>
                <c:pt idx="7">
                  <c:v>0.156575242798085</c:v>
                </c:pt>
                <c:pt idx="8">
                  <c:v>0.156575233316492</c:v>
                </c:pt>
                <c:pt idx="9">
                  <c:v>0.156575225785027</c:v>
                </c:pt>
                <c:pt idx="10">
                  <c:v>0.156575219802524</c:v>
                </c:pt>
                <c:pt idx="11">
                  <c:v>0.15657521505047</c:v>
                </c:pt>
                <c:pt idx="12">
                  <c:v>0.156575211275767</c:v>
                </c:pt>
                <c:pt idx="13">
                  <c:v>0.156575208277454</c:v>
                </c:pt>
                <c:pt idx="14">
                  <c:v>0.156575205895748</c:v>
                </c:pt>
                <c:pt idx="15">
                  <c:v>0.156575204003939</c:v>
                </c:pt>
              </c:numCache>
            </c:numRef>
          </c:val>
          <c:smooth val="0"/>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0.0693501558329701</c:v>
                </c:pt>
                <c:pt idx="1">
                  <c:v>0.0693501434791188</c:v>
                </c:pt>
                <c:pt idx="2">
                  <c:v>0.0693501336661129</c:v>
                </c:pt>
                <c:pt idx="3">
                  <c:v>0.0693501258713702</c:v>
                </c:pt>
                <c:pt idx="4">
                  <c:v>0.0591407154478696</c:v>
                </c:pt>
                <c:pt idx="5">
                  <c:v>0.0591407154477586</c:v>
                </c:pt>
                <c:pt idx="6">
                  <c:v>0.0591407154476253</c:v>
                </c:pt>
                <c:pt idx="7">
                  <c:v>0.0591407154475254</c:v>
                </c:pt>
                <c:pt idx="8">
                  <c:v>0.0591407154474588</c:v>
                </c:pt>
                <c:pt idx="9">
                  <c:v>0.0591407154473922</c:v>
                </c:pt>
                <c:pt idx="10">
                  <c:v>0.05914071544737</c:v>
                </c:pt>
                <c:pt idx="11">
                  <c:v>0.0591407154473145</c:v>
                </c:pt>
                <c:pt idx="12">
                  <c:v>0.0591407154472812</c:v>
                </c:pt>
                <c:pt idx="13">
                  <c:v>0.0591407154472701</c:v>
                </c:pt>
                <c:pt idx="14">
                  <c:v>0.0591407154472368</c:v>
                </c:pt>
                <c:pt idx="15">
                  <c:v>0.0591407154472257</c:v>
                </c:pt>
              </c:numCache>
            </c:numRef>
          </c:val>
          <c:smooth val="0"/>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0.00040509966164565</c:v>
                </c:pt>
                <c:pt idx="1">
                  <c:v>0.000372867406302977</c:v>
                </c:pt>
                <c:pt idx="2">
                  <c:v>0.000347264385966368</c:v>
                </c:pt>
                <c:pt idx="3">
                  <c:v>0.000326927165269451</c:v>
                </c:pt>
                <c:pt idx="4">
                  <c:v>0.000310772724797438</c:v>
                </c:pt>
                <c:pt idx="5">
                  <c:v>0.000297940789086467</c:v>
                </c:pt>
                <c:pt idx="6">
                  <c:v>0.000287748015566573</c:v>
                </c:pt>
                <c:pt idx="7">
                  <c:v>0.000279651604766772</c:v>
                </c:pt>
                <c:pt idx="8">
                  <c:v>0.000273220395200494</c:v>
                </c:pt>
                <c:pt idx="9">
                  <c:v>0.000268111902649952</c:v>
                </c:pt>
                <c:pt idx="10">
                  <c:v>0.000264054082050996</c:v>
                </c:pt>
                <c:pt idx="11">
                  <c:v>0.000260830840123376</c:v>
                </c:pt>
                <c:pt idx="12">
                  <c:v>0.000258270527701301</c:v>
                </c:pt>
                <c:pt idx="13">
                  <c:v>0.000256236799120231</c:v>
                </c:pt>
                <c:pt idx="14">
                  <c:v>0.000254621350944901</c:v>
                </c:pt>
                <c:pt idx="15">
                  <c:v>0.000253338154803299</c:v>
                </c:pt>
                <c:pt idx="16">
                  <c:v>0.000252318875780907</c:v>
                </c:pt>
                <c:pt idx="17">
                  <c:v>0.000251509233666767</c:v>
                </c:pt>
                <c:pt idx="18">
                  <c:v>0.000250866112071769</c:v>
                </c:pt>
                <c:pt idx="19">
                  <c:v>0.000250355262380495</c:v>
                </c:pt>
                <c:pt idx="20">
                  <c:v>0.00024994948007589</c:v>
                </c:pt>
              </c:numCache>
            </c:numRef>
          </c:val>
          <c:smooth val="0"/>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1.38196946886104e-5</c:v>
                </c:pt>
                <c:pt idx="2">
                  <c:v>1.12696666998424e-5</c:v>
                </c:pt>
                <c:pt idx="3">
                  <c:v>8.7196387110744e-6</c:v>
                </c:pt>
                <c:pt idx="4">
                  <c:v>8.7196387110744e-6</c:v>
                </c:pt>
                <c:pt idx="5">
                  <c:v>8.7196387110744e-6</c:v>
                </c:pt>
                <c:pt idx="6">
                  <c:v>5.45495660864148e-6</c:v>
                </c:pt>
                <c:pt idx="7">
                  <c:v>2.19027450620857e-6</c:v>
                </c:pt>
                <c:pt idx="8">
                  <c:v>2.19027450620857e-6</c:v>
                </c:pt>
                <c:pt idx="9">
                  <c:v>2.19027450620857e-6</c:v>
                </c:pt>
                <c:pt idx="10">
                  <c:v>1.78612215573359e-6</c:v>
                </c:pt>
                <c:pt idx="11">
                  <c:v>1.38196980525862e-6</c:v>
                </c:pt>
                <c:pt idx="12">
                  <c:v>1.12696690868219e-6</c:v>
                </c:pt>
                <c:pt idx="13">
                  <c:v>8.71964012105764e-7</c:v>
                </c:pt>
                <c:pt idx="14">
                  <c:v>7.11068059988662e-7</c:v>
                </c:pt>
                <c:pt idx="15">
                  <c:v>5.50172107871561e-7</c:v>
                </c:pt>
              </c:numCache>
            </c:numRef>
          </c:val>
          <c:smooth val="0"/>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c:v>
                </c:pt>
                <c:pt idx="1">
                  <c:v>0.38363</c:v>
                </c:pt>
                <c:pt idx="2">
                  <c:v>0.377482</c:v>
                </c:pt>
                <c:pt idx="3">
                  <c:v>0.350508</c:v>
                </c:pt>
                <c:pt idx="4">
                  <c:v>0.32733</c:v>
                </c:pt>
                <c:pt idx="5">
                  <c:v>0.29859</c:v>
                </c:pt>
                <c:pt idx="6">
                  <c:v>0.28541</c:v>
                </c:pt>
                <c:pt idx="7">
                  <c:v>0.26619</c:v>
                </c:pt>
                <c:pt idx="8">
                  <c:v>0.24044</c:v>
                </c:pt>
                <c:pt idx="9">
                  <c:v>0.22515</c:v>
                </c:pt>
                <c:pt idx="10">
                  <c:v>0.21915</c:v>
                </c:pt>
              </c:numCache>
            </c:numRef>
          </c:val>
          <c:smooth val="0"/>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0.29616</c:v>
                </c:pt>
                <c:pt idx="1">
                  <c:v>0.293467</c:v>
                </c:pt>
                <c:pt idx="2">
                  <c:v>0.28812</c:v>
                </c:pt>
                <c:pt idx="3">
                  <c:v>0.277373</c:v>
                </c:pt>
                <c:pt idx="4">
                  <c:v>0.240658</c:v>
                </c:pt>
                <c:pt idx="5">
                  <c:v>0.233719</c:v>
                </c:pt>
                <c:pt idx="6">
                  <c:v>0.228197</c:v>
                </c:pt>
                <c:pt idx="7">
                  <c:v>0.223804</c:v>
                </c:pt>
                <c:pt idx="8">
                  <c:v>0.22031</c:v>
                </c:pt>
                <c:pt idx="9">
                  <c:v>0.217532</c:v>
                </c:pt>
                <c:pt idx="10">
                  <c:v>0.215323</c:v>
                </c:pt>
                <c:pt idx="11">
                  <c:v>0.213568</c:v>
                </c:pt>
                <c:pt idx="12">
                  <c:v>0.212173</c:v>
                </c:pt>
                <c:pt idx="13">
                  <c:v>0.211065</c:v>
                </c:pt>
                <c:pt idx="14">
                  <c:v>0.210184</c:v>
                </c:pt>
                <c:pt idx="15">
                  <c:v>0.209484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0.0320335659062421</c:v>
                </c:pt>
                <c:pt idx="1">
                  <c:v>0.0308345555534717</c:v>
                </c:pt>
                <c:pt idx="2">
                  <c:v>0.02983177069108</c:v>
                </c:pt>
                <c:pt idx="3">
                  <c:v>0.0290045807165407</c:v>
                </c:pt>
                <c:pt idx="4">
                  <c:v>0.0283222699654528</c:v>
                </c:pt>
                <c:pt idx="5">
                  <c:v>0.0277644788056253</c:v>
                </c:pt>
                <c:pt idx="6">
                  <c:v>0.0273107512272608</c:v>
                </c:pt>
                <c:pt idx="7">
                  <c:v>0.0269432407036918</c:v>
                </c:pt>
                <c:pt idx="8">
                  <c:v>0.0266475576961134</c:v>
                </c:pt>
                <c:pt idx="9">
                  <c:v>0.0264089019291314</c:v>
                </c:pt>
                <c:pt idx="10">
                  <c:v>0.026217338430834</c:v>
                </c:pt>
                <c:pt idx="11">
                  <c:v>0.0260638865461904</c:v>
                </c:pt>
                <c:pt idx="12">
                  <c:v>0.025941167172483</c:v>
                </c:pt>
                <c:pt idx="13">
                  <c:v>0.0258431569992168</c:v>
                </c:pt>
                <c:pt idx="14">
                  <c:v>0.0257649657184111</c:v>
                </c:pt>
                <c:pt idx="15">
                  <c:v>0.0257026401292326</c:v>
                </c:pt>
              </c:numCache>
            </c:numRef>
          </c:val>
          <c:smooth val="0"/>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0.0143552759643284</c:v>
                </c:pt>
                <c:pt idx="1">
                  <c:v>0.0139346163564258</c:v>
                </c:pt>
                <c:pt idx="2">
                  <c:v>0.0135866460523881</c:v>
                </c:pt>
                <c:pt idx="3">
                  <c:v>0.0133006389633872</c:v>
                </c:pt>
                <c:pt idx="4">
                  <c:v>0.0130668885658158</c:v>
                </c:pt>
                <c:pt idx="5">
                  <c:v>0.0128767850830269</c:v>
                </c:pt>
                <c:pt idx="6">
                  <c:v>0.0127228284333203</c:v>
                </c:pt>
                <c:pt idx="7">
                  <c:v>0.0125985881578305</c:v>
                </c:pt>
                <c:pt idx="8">
                  <c:v>0.0124541220475227</c:v>
                </c:pt>
                <c:pt idx="9">
                  <c:v>0.012373291090606</c:v>
                </c:pt>
                <c:pt idx="10">
                  <c:v>0.0123085376974252</c:v>
                </c:pt>
                <c:pt idx="11">
                  <c:v>0.0122567502648163</c:v>
                </c:pt>
                <c:pt idx="12">
                  <c:v>0.0122153884531073</c:v>
                </c:pt>
                <c:pt idx="13">
                  <c:v>0.012182389462112</c:v>
                </c:pt>
                <c:pt idx="14">
                  <c:v>0.0121560855717795</c:v>
                </c:pt>
              </c:numCache>
            </c:numRef>
          </c:val>
          <c:smooth val="0"/>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0.0167959725354264</c:v>
                </c:pt>
                <c:pt idx="1">
                  <c:v>0.0159234604464414</c:v>
                </c:pt>
                <c:pt idx="2">
                  <c:v>0.0152041950895324</c:v>
                </c:pt>
                <c:pt idx="3">
                  <c:v>0.0146146709341435</c:v>
                </c:pt>
                <c:pt idx="4">
                  <c:v>0.0141339559817647</c:v>
                </c:pt>
                <c:pt idx="5">
                  <c:v>0.0137437172692642</c:v>
                </c:pt>
                <c:pt idx="6">
                  <c:v>0.0134281415973135</c:v>
                </c:pt>
                <c:pt idx="7">
                  <c:v>0.0131737740006222</c:v>
                </c:pt>
                <c:pt idx="8">
                  <c:v>0.0129693015244599</c:v>
                </c:pt>
                <c:pt idx="9">
                  <c:v>0.0128053087145455</c:v>
                </c:pt>
                <c:pt idx="10">
                  <c:v>0.0126740265002388</c:v>
                </c:pt>
                <c:pt idx="11">
                  <c:v>0.012569090151026</c:v>
                </c:pt>
                <c:pt idx="12">
                  <c:v>0.0124853162437295</c:v>
                </c:pt>
                <c:pt idx="13">
                  <c:v>0.0124185038662577</c:v>
                </c:pt>
                <c:pt idx="14">
                  <c:v>0.0123652618269638</c:v>
                </c:pt>
                <c:pt idx="15">
                  <c:v>0.0123228613442703</c:v>
                </c:pt>
                <c:pt idx="16">
                  <c:v>0.0122891123303554</c:v>
                </c:pt>
                <c:pt idx="17">
                  <c:v>0.0122622607015113</c:v>
                </c:pt>
                <c:pt idx="18">
                  <c:v>0.0122409039225923</c:v>
                </c:pt>
                <c:pt idx="19">
                  <c:v>0.01222392204943</c:v>
                </c:pt>
                <c:pt idx="20">
                  <c:v>0.0122104217463724</c:v>
                </c:pt>
              </c:numCache>
            </c:numRef>
          </c:val>
          <c:smooth val="0"/>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5.36379818893984e-6</c:v>
                </c:pt>
                <c:pt idx="1">
                  <c:v>4.15012099130863e-6</c:v>
                </c:pt>
                <c:pt idx="2">
                  <c:v>3.38433806534866e-6</c:v>
                </c:pt>
                <c:pt idx="3">
                  <c:v>2.61855513938869e-6</c:v>
                </c:pt>
                <c:pt idx="4">
                  <c:v>2.61855513938869e-6</c:v>
                </c:pt>
                <c:pt idx="5">
                  <c:v>2.61855513938869e-6</c:v>
                </c:pt>
                <c:pt idx="6">
                  <c:v>1.63815411791113e-6</c:v>
                </c:pt>
                <c:pt idx="7">
                  <c:v>6.57753096433567e-7</c:v>
                </c:pt>
                <c:pt idx="8">
                  <c:v>6.57753096433567e-7</c:v>
                </c:pt>
                <c:pt idx="9">
                  <c:v>6.57753096433567e-7</c:v>
                </c:pt>
                <c:pt idx="10">
                  <c:v>5.36383687466113e-7</c:v>
                </c:pt>
                <c:pt idx="11">
                  <c:v>4.1501427849866e-7</c:v>
                </c:pt>
                <c:pt idx="12">
                  <c:v>3.38435329760856e-7</c:v>
                </c:pt>
                <c:pt idx="13">
                  <c:v>2.61856381023051e-7</c:v>
                </c:pt>
                <c:pt idx="14">
                  <c:v>2.13538281501613e-7</c:v>
                </c:pt>
                <c:pt idx="15">
                  <c:v>1.65220181980175e-7</c:v>
                </c:pt>
              </c:numCache>
            </c:numRef>
          </c:val>
          <c:smooth val="0"/>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0.028149</c:v>
                </c:pt>
                <c:pt idx="1">
                  <c:v>0.024485</c:v>
                </c:pt>
                <c:pt idx="2">
                  <c:v>0.021012</c:v>
                </c:pt>
                <c:pt idx="3">
                  <c:v>0.019192</c:v>
                </c:pt>
                <c:pt idx="4">
                  <c:v>0.017867</c:v>
                </c:pt>
                <c:pt idx="5">
                  <c:v>0.014088</c:v>
                </c:pt>
                <c:pt idx="6">
                  <c:v>0.012177</c:v>
                </c:pt>
                <c:pt idx="7">
                  <c:v>0.011901</c:v>
                </c:pt>
                <c:pt idx="8">
                  <c:v>0.011871</c:v>
                </c:pt>
                <c:pt idx="9">
                  <c:v>0.011813</c:v>
                </c:pt>
                <c:pt idx="10">
                  <c:v>0.011378</c:v>
                </c:pt>
              </c:numCache>
            </c:numRef>
          </c:val>
          <c:smooth val="0"/>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0.028613</c:v>
                </c:pt>
                <c:pt idx="1">
                  <c:v>0.026259</c:v>
                </c:pt>
                <c:pt idx="2">
                  <c:v>0.024854</c:v>
                </c:pt>
                <c:pt idx="3">
                  <c:v>0.022934</c:v>
                </c:pt>
                <c:pt idx="4">
                  <c:v>0.021966</c:v>
                </c:pt>
                <c:pt idx="5">
                  <c:v>0.021588</c:v>
                </c:pt>
                <c:pt idx="6">
                  <c:v>0.021097</c:v>
                </c:pt>
                <c:pt idx="7">
                  <c:v>0.020938</c:v>
                </c:pt>
                <c:pt idx="8">
                  <c:v>0.020899</c:v>
                </c:pt>
                <c:pt idx="9">
                  <c:v>0.020804</c:v>
                </c:pt>
                <c:pt idx="10">
                  <c:v>0.020808</c:v>
                </c:pt>
                <c:pt idx="11">
                  <c:v>0.020794</c:v>
                </c:pt>
                <c:pt idx="12">
                  <c:v>0.0207669999999999</c:v>
                </c:pt>
                <c:pt idx="13">
                  <c:v>0.0207499999999999</c:v>
                </c:pt>
                <c:pt idx="14">
                  <c:v>0.0207609999999999</c:v>
                </c:pt>
                <c:pt idx="15">
                  <c:v>0.020759</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c:v>
                </c:pt>
                <c:pt idx="1">
                  <c:v>5.39542508330461</c:v>
                </c:pt>
                <c:pt idx="2">
                  <c:v>5.39280610656254</c:v>
                </c:pt>
                <c:pt idx="3">
                  <c:v>5.39072566782884</c:v>
                </c:pt>
                <c:pt idx="4">
                  <c:v>5.3890730462061</c:v>
                </c:pt>
                <c:pt idx="5">
                  <c:v>5.38776027777019</c:v>
                </c:pt>
                <c:pt idx="6">
                  <c:v>5.38671748070769</c:v>
                </c:pt>
                <c:pt idx="7">
                  <c:v>5.38588913987252</c:v>
                </c:pt>
                <c:pt idx="8">
                  <c:v>5.38523115420017</c:v>
                </c:pt>
                <c:pt idx="9">
                  <c:v>5.38470849056152</c:v>
                </c:pt>
                <c:pt idx="10">
                  <c:v>5.38429331963342</c:v>
                </c:pt>
                <c:pt idx="11">
                  <c:v>5.38396353483979</c:v>
                </c:pt>
                <c:pt idx="12">
                  <c:v>5.38370157569811</c:v>
                </c:pt>
                <c:pt idx="13">
                  <c:v>5.38349349303953</c:v>
                </c:pt>
                <c:pt idx="14">
                  <c:v>5.38332820640453</c:v>
                </c:pt>
                <c:pt idx="15">
                  <c:v>5.38319691411923</c:v>
                </c:pt>
              </c:numCache>
            </c:numRef>
          </c:val>
          <c:smooth val="0"/>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c:v>
                </c:pt>
                <c:pt idx="1">
                  <c:v>1.04450784717739</c:v>
                </c:pt>
                <c:pt idx="2">
                  <c:v>1.04450780662768</c:v>
                </c:pt>
                <c:pt idx="3">
                  <c:v>1.04450777441792</c:v>
                </c:pt>
                <c:pt idx="4">
                  <c:v>1.04450774883279</c:v>
                </c:pt>
                <c:pt idx="5">
                  <c:v>1.0445077285098</c:v>
                </c:pt>
                <c:pt idx="6">
                  <c:v>1.04450771236668</c:v>
                </c:pt>
                <c:pt idx="7">
                  <c:v>1.04450769954373</c:v>
                </c:pt>
                <c:pt idx="8">
                  <c:v>1.04450768935811</c:v>
                </c:pt>
                <c:pt idx="9">
                  <c:v>1.04450768126737</c:v>
                </c:pt>
                <c:pt idx="10">
                  <c:v>1.04450767484069</c:v>
                </c:pt>
                <c:pt idx="11">
                  <c:v>1.04450766973581</c:v>
                </c:pt>
                <c:pt idx="12">
                  <c:v>1.04450766568081</c:v>
                </c:pt>
                <c:pt idx="13">
                  <c:v>1.04450766245985</c:v>
                </c:pt>
                <c:pt idx="14">
                  <c:v>1.04450765990133</c:v>
                </c:pt>
                <c:pt idx="15">
                  <c:v>1.04450765786903</c:v>
                </c:pt>
              </c:numCache>
            </c:numRef>
          </c:val>
          <c:smooth val="0"/>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2.49635144377132</c:v>
                </c:pt>
                <c:pt idx="1">
                  <c:v>2.31215284862165</c:v>
                </c:pt>
                <c:pt idx="2">
                  <c:v>2.16422049219318</c:v>
                </c:pt>
                <c:pt idx="3">
                  <c:v>2.04567212975278</c:v>
                </c:pt>
                <c:pt idx="4">
                  <c:v>1.95083811449778</c:v>
                </c:pt>
                <c:pt idx="5">
                  <c:v>1.87508208135882</c:v>
                </c:pt>
                <c:pt idx="6">
                  <c:v>1.81463494145267</c:v>
                </c:pt>
                <c:pt idx="7">
                  <c:v>1.7664470607375</c:v>
                </c:pt>
                <c:pt idx="8">
                  <c:v>1.72806019433943</c:v>
                </c:pt>
                <c:pt idx="9">
                  <c:v>1.69749873899596</c:v>
                </c:pt>
                <c:pt idx="10">
                  <c:v>1.67317876366815</c:v>
                </c:pt>
                <c:pt idx="11">
                  <c:v>1.65383277352021</c:v>
                </c:pt>
                <c:pt idx="12">
                  <c:v>1.63844802794826</c:v>
                </c:pt>
                <c:pt idx="13">
                  <c:v>1.62621631211519</c:v>
                </c:pt>
                <c:pt idx="14">
                  <c:v>1.61649325038584</c:v>
                </c:pt>
                <c:pt idx="15">
                  <c:v>1.60876548470287</c:v>
                </c:pt>
                <c:pt idx="16">
                  <c:v>1.60262428319626</c:v>
                </c:pt>
                <c:pt idx="17">
                  <c:v>1.59774437328423</c:v>
                </c:pt>
                <c:pt idx="18">
                  <c:v>1.59386699911525</c:v>
                </c:pt>
                <c:pt idx="19">
                  <c:v>1.59078638180609</c:v>
                </c:pt>
                <c:pt idx="20">
                  <c:v>1.58833891262816</c:v>
                </c:pt>
              </c:numCache>
            </c:numRef>
          </c:val>
          <c:smooth val="0"/>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1.73829900029787e-5</c:v>
                </c:pt>
                <c:pt idx="1">
                  <c:v>1.3449678382127e-5</c:v>
                </c:pt>
                <c:pt idx="2">
                  <c:v>1.09679261284246e-5</c:v>
                </c:pt>
                <c:pt idx="3">
                  <c:v>8.48617387472217e-6</c:v>
                </c:pt>
                <c:pt idx="4">
                  <c:v>8.48617387472217e-6</c:v>
                </c:pt>
                <c:pt idx="5">
                  <c:v>8.48617387472217e-6</c:v>
                </c:pt>
                <c:pt idx="6">
                  <c:v>5.30890226779768e-6</c:v>
                </c:pt>
                <c:pt idx="7">
                  <c:v>2.13163066087319e-6</c:v>
                </c:pt>
                <c:pt idx="8">
                  <c:v>2.13163066087319e-6</c:v>
                </c:pt>
                <c:pt idx="9">
                  <c:v>2.13163066087319e-6</c:v>
                </c:pt>
                <c:pt idx="10">
                  <c:v>1.7382993489079e-6</c:v>
                </c:pt>
                <c:pt idx="11">
                  <c:v>1.34496803694262e-6</c:v>
                </c:pt>
                <c:pt idx="12">
                  <c:v>1.09679275106522e-6</c:v>
                </c:pt>
                <c:pt idx="13">
                  <c:v>8.48617465187829e-7</c:v>
                </c:pt>
                <c:pt idx="14">
                  <c:v>6.92029444859799e-7</c:v>
                </c:pt>
                <c:pt idx="15">
                  <c:v>5.35441424531769e-7</c:v>
                </c:pt>
              </c:numCache>
            </c:numRef>
          </c:val>
          <c:smooth val="0"/>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c:v>
                </c:pt>
                <c:pt idx="2">
                  <c:v>0.324231625892968</c:v>
                </c:pt>
                <c:pt idx="3">
                  <c:v>0.311142540111875</c:v>
                </c:pt>
                <c:pt idx="4">
                  <c:v>0.300477904581697</c:v>
                </c:pt>
                <c:pt idx="5">
                  <c:v>0.291826227094949</c:v>
                </c:pt>
                <c:pt idx="6">
                  <c:v>0.284833652711947</c:v>
                </c:pt>
                <c:pt idx="7">
                  <c:v>0.27919983545488</c:v>
                </c:pt>
                <c:pt idx="8">
                  <c:v>0.274672740104698</c:v>
                </c:pt>
                <c:pt idx="9">
                  <c:v>0.27104293386474</c:v>
                </c:pt>
                <c:pt idx="10">
                  <c:v>0.268137821308567</c:v>
                </c:pt>
                <c:pt idx="11">
                  <c:v>0.265816146107989</c:v>
                </c:pt>
                <c:pt idx="12">
                  <c:v>0.263962960453445</c:v>
                </c:pt>
                <c:pt idx="13">
                  <c:v>0.262485163368276</c:v>
                </c:pt>
                <c:pt idx="14">
                  <c:v>0.261307636567831</c:v>
                </c:pt>
                <c:pt idx="15">
                  <c:v>0.260369958845408</c:v>
                </c:pt>
              </c:numCache>
            </c:numRef>
          </c:val>
          <c:smooth val="0"/>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c:v>
                </c:pt>
                <c:pt idx="1">
                  <c:v>0.221875274876604</c:v>
                </c:pt>
                <c:pt idx="2">
                  <c:v>0.211580324916705</c:v>
                </c:pt>
                <c:pt idx="3">
                  <c:v>0.203130860242162</c:v>
                </c:pt>
                <c:pt idx="4">
                  <c:v>0.196232997383561</c:v>
                </c:pt>
                <c:pt idx="5">
                  <c:v>0.190627975510049</c:v>
                </c:pt>
                <c:pt idx="6">
                  <c:v>0.186091669874178</c:v>
                </c:pt>
                <c:pt idx="7">
                  <c:v>0.1824327438535</c:v>
                </c:pt>
                <c:pt idx="8">
                  <c:v>0.179489885926076</c:v>
                </c:pt>
                <c:pt idx="9">
                  <c:v>0.177128544072447</c:v>
                </c:pt>
                <c:pt idx="10">
                  <c:v>0.175237492909885</c:v>
                </c:pt>
                <c:pt idx="11">
                  <c:v>0.173735955226095</c:v>
                </c:pt>
                <c:pt idx="12">
                  <c:v>0.172544637550331</c:v>
                </c:pt>
                <c:pt idx="13">
                  <c:v>0.171594312903667</c:v>
                </c:pt>
                <c:pt idx="14">
                  <c:v>0.170836874655889</c:v>
                </c:pt>
                <c:pt idx="15">
                  <c:v>0.170233585437651</c:v>
                </c:pt>
              </c:numCache>
            </c:numRef>
          </c:val>
          <c:smooth val="0"/>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c:v>
                </c:pt>
                <c:pt idx="2">
                  <c:v>0.939827979564501</c:v>
                </c:pt>
                <c:pt idx="3">
                  <c:v>0.897894691943062</c:v>
                </c:pt>
                <c:pt idx="4">
                  <c:v>0.863870374700094</c:v>
                </c:pt>
                <c:pt idx="5">
                  <c:v>0.836368254713691</c:v>
                </c:pt>
                <c:pt idx="6">
                  <c:v>0.814209306844761</c:v>
                </c:pt>
                <c:pt idx="7">
                  <c:v>0.796403165109071</c:v>
                </c:pt>
                <c:pt idx="8">
                  <c:v>0.782126396006801</c:v>
                </c:pt>
                <c:pt idx="9">
                  <c:v>0.770700189899504</c:v>
                </c:pt>
                <c:pt idx="10">
                  <c:v>0.761568908458698</c:v>
                </c:pt>
                <c:pt idx="11">
                  <c:v>0.75428037309372</c:v>
                </c:pt>
                <c:pt idx="12">
                  <c:v>0.748468343698525</c:v>
                </c:pt>
                <c:pt idx="13">
                  <c:v>0.743837326751677</c:v>
                </c:pt>
                <c:pt idx="14">
                  <c:v>0.740149650780107</c:v>
                </c:pt>
                <c:pt idx="15">
                  <c:v>0.737214630863245</c:v>
                </c:pt>
                <c:pt idx="16">
                  <c:v>0.734879587660491</c:v>
                </c:pt>
                <c:pt idx="17">
                  <c:v>0.733022469802565</c:v>
                </c:pt>
                <c:pt idx="18">
                  <c:v>0.731545835823179</c:v>
                </c:pt>
                <c:pt idx="19">
                  <c:v>0.730371972191881</c:v>
                </c:pt>
                <c:pt idx="20">
                  <c:v>0.729438950240238</c:v>
                </c:pt>
              </c:numCache>
            </c:numRef>
          </c:val>
          <c:smooth val="0"/>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0.977128692828266</c:v>
                </c:pt>
                <c:pt idx="1">
                  <c:v>0.82799684922501</c:v>
                </c:pt>
                <c:pt idx="2">
                  <c:v>0.714884302495489</c:v>
                </c:pt>
                <c:pt idx="3">
                  <c:v>0.601771755765967</c:v>
                </c:pt>
                <c:pt idx="4">
                  <c:v>0.517196490292898</c:v>
                </c:pt>
                <c:pt idx="5">
                  <c:v>0.432621224819829</c:v>
                </c:pt>
                <c:pt idx="6">
                  <c:v>0.432621224819829</c:v>
                </c:pt>
                <c:pt idx="7">
                  <c:v>0.432621224819829</c:v>
                </c:pt>
                <c:pt idx="8">
                  <c:v>0.291295426823002</c:v>
                </c:pt>
                <c:pt idx="9">
                  <c:v>0.149969628826174</c:v>
                </c:pt>
                <c:pt idx="10">
                  <c:v>0.149969628826174</c:v>
                </c:pt>
                <c:pt idx="11">
                  <c:v>0.149969628826174</c:v>
                </c:pt>
                <c:pt idx="12">
                  <c:v>0.126616622580361</c:v>
                </c:pt>
                <c:pt idx="13">
                  <c:v>0.103263616334548</c:v>
                </c:pt>
                <c:pt idx="14">
                  <c:v>0.086849042943099</c:v>
                </c:pt>
                <c:pt idx="15">
                  <c:v>0.0704344695516501</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c:v>
                </c:pt>
                <c:pt idx="1">
                  <c:v>0.871551736060305</c:v>
                </c:pt>
                <c:pt idx="2">
                  <c:v>0.848469552338094</c:v>
                </c:pt>
                <c:pt idx="3">
                  <c:v>0.829262752316773</c:v>
                </c:pt>
                <c:pt idx="4">
                  <c:v>0.8133978619836</c:v>
                </c:pt>
                <c:pt idx="5">
                  <c:v>0.800378221651876</c:v>
                </c:pt>
                <c:pt idx="6">
                  <c:v>0.789753587963171</c:v>
                </c:pt>
                <c:pt idx="7">
                  <c:v>0.781125053652088</c:v>
                </c:pt>
                <c:pt idx="8">
                  <c:v>0.774199162144595</c:v>
                </c:pt>
                <c:pt idx="9">
                  <c:v>0.768574381529885</c:v>
                </c:pt>
                <c:pt idx="10">
                  <c:v>0.764053031294265</c:v>
                </c:pt>
                <c:pt idx="11">
                  <c:v>0.760427013446507</c:v>
                </c:pt>
                <c:pt idx="12">
                  <c:v>0.757524492571027</c:v>
                </c:pt>
                <c:pt idx="13">
                  <c:v>0.755204651380403</c:v>
                </c:pt>
                <c:pt idx="14">
                  <c:v>0.753352801519847</c:v>
                </c:pt>
                <c:pt idx="15">
                  <c:v>0.751876000060125</c:v>
                </c:pt>
              </c:numCache>
            </c:numRef>
          </c:val>
          <c:smooth val="0"/>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c:v>
                </c:pt>
                <c:pt idx="1">
                  <c:v>0.185443220179471</c:v>
                </c:pt>
                <c:pt idx="2">
                  <c:v>0.179697791931677</c:v>
                </c:pt>
                <c:pt idx="3">
                  <c:v>0.174959628582849</c:v>
                </c:pt>
                <c:pt idx="4">
                  <c:v>0.171075490005457</c:v>
                </c:pt>
                <c:pt idx="5">
                  <c:v>0.167908195483346</c:v>
                </c:pt>
                <c:pt idx="6">
                  <c:v>0.165337209818106</c:v>
                </c:pt>
                <c:pt idx="7">
                  <c:v>0.163258373745045</c:v>
                </c:pt>
                <c:pt idx="8">
                  <c:v>0.161582978968911</c:v>
                </c:pt>
                <c:pt idx="9">
                  <c:v>0.160236412284742</c:v>
                </c:pt>
                <c:pt idx="10">
                  <c:v>0.159156573338037</c:v>
                </c:pt>
                <c:pt idx="11">
                  <c:v>0.158292228387558</c:v>
                </c:pt>
                <c:pt idx="12">
                  <c:v>0.157601414699349</c:v>
                </c:pt>
                <c:pt idx="13">
                  <c:v>0.157049967015188</c:v>
                </c:pt>
                <c:pt idx="14">
                  <c:v>0.156610203322594</c:v>
                </c:pt>
                <c:pt idx="15">
                  <c:v>0.156259782677926</c:v>
                </c:pt>
                <c:pt idx="16">
                  <c:v>0.127260074140578</c:v>
                </c:pt>
                <c:pt idx="17">
                  <c:v>0.125332359831365</c:v>
                </c:pt>
                <c:pt idx="18">
                  <c:v>0.123780672073892</c:v>
                </c:pt>
                <c:pt idx="19">
                  <c:v>0.12253484555389</c:v>
                </c:pt>
                <c:pt idx="20">
                  <c:v>0.121536677694045</c:v>
                </c:pt>
              </c:numCache>
            </c:numRef>
          </c:val>
          <c:smooth val="0"/>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c:v>
                </c:pt>
                <c:pt idx="1">
                  <c:v>0.788972190685865</c:v>
                </c:pt>
                <c:pt idx="2">
                  <c:v>0.753523557530246</c:v>
                </c:pt>
                <c:pt idx="3">
                  <c:v>0.724455179265135</c:v>
                </c:pt>
                <c:pt idx="4">
                  <c:v>0.700742723960465</c:v>
                </c:pt>
                <c:pt idx="5">
                  <c:v>0.681487143319787</c:v>
                </c:pt>
                <c:pt idx="6">
                  <c:v>0.665911692182295</c:v>
                </c:pt>
                <c:pt idx="7">
                  <c:v>0.653354628262525</c:v>
                </c:pt>
                <c:pt idx="8">
                  <c:v>0.643259013201105</c:v>
                </c:pt>
                <c:pt idx="9">
                  <c:v>0.635160969668136</c:v>
                </c:pt>
                <c:pt idx="10">
                  <c:v>0.628677505935023</c:v>
                </c:pt>
                <c:pt idx="11">
                  <c:v>0.623494713650248</c:v>
                </c:pt>
                <c:pt idx="12">
                  <c:v>0.619356852843756</c:v>
                </c:pt>
                <c:pt idx="13">
                  <c:v>0.616056598945661</c:v>
                </c:pt>
                <c:pt idx="14">
                  <c:v>0.613426550871423</c:v>
                </c:pt>
                <c:pt idx="15">
                  <c:v>0.611331982225637</c:v>
                </c:pt>
                <c:pt idx="16">
                  <c:v>0.609664747845787</c:v>
                </c:pt>
                <c:pt idx="17">
                  <c:v>0.608338222448603</c:v>
                </c:pt>
                <c:pt idx="18">
                  <c:v>0.607283135786332</c:v>
                </c:pt>
                <c:pt idx="19">
                  <c:v>0.606444170686283</c:v>
                </c:pt>
                <c:pt idx="20">
                  <c:v>0.60577720033778</c:v>
                </c:pt>
              </c:numCache>
            </c:numRef>
          </c:val>
          <c:smooth val="0"/>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7.70440424235908e-6</c:v>
                </c:pt>
                <c:pt idx="1">
                  <c:v>5.9611260816439e-6</c:v>
                </c:pt>
                <c:pt idx="2">
                  <c:v>4.86117956444154e-6</c:v>
                </c:pt>
                <c:pt idx="3">
                  <c:v>3.76123304723919e-6</c:v>
                </c:pt>
                <c:pt idx="4">
                  <c:v>3.76123304723919e-6</c:v>
                </c:pt>
                <c:pt idx="5">
                  <c:v>3.76123304723919e-6</c:v>
                </c:pt>
                <c:pt idx="6">
                  <c:v>2.35300872675204e-6</c:v>
                </c:pt>
                <c:pt idx="7">
                  <c:v>9.44784406264887e-7</c:v>
                </c:pt>
                <c:pt idx="8">
                  <c:v>9.44784406264887e-7</c:v>
                </c:pt>
                <c:pt idx="9">
                  <c:v>9.44784406264887e-7</c:v>
                </c:pt>
                <c:pt idx="10">
                  <c:v>7.70451824561036e-7</c:v>
                </c:pt>
                <c:pt idx="11">
                  <c:v>5.96119242857185e-7</c:v>
                </c:pt>
                <c:pt idx="12">
                  <c:v>4.86122614384854e-7</c:v>
                </c:pt>
                <c:pt idx="13">
                  <c:v>3.76125985912523e-7</c:v>
                </c:pt>
                <c:pt idx="14">
                  <c:v>3.06722780507585e-7</c:v>
                </c:pt>
                <c:pt idx="15">
                  <c:v>2.37319575102646e-7</c:v>
                </c:pt>
              </c:numCache>
            </c:numRef>
          </c:val>
          <c:smooth val="0"/>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0.0756538414766417</c:v>
                </c:pt>
                <c:pt idx="1">
                  <c:v>0.0493614780587626</c:v>
                </c:pt>
                <c:pt idx="2">
                  <c:v>0.0493614623514493</c:v>
                </c:pt>
                <c:pt idx="3">
                  <c:v>0.0339123678061881</c:v>
                </c:pt>
                <c:pt idx="4">
                  <c:v>0.0339122604830822</c:v>
                </c:pt>
                <c:pt idx="5">
                  <c:v>0.0225495862964609</c:v>
                </c:pt>
                <c:pt idx="6">
                  <c:v>0.022549584154119</c:v>
                </c:pt>
                <c:pt idx="7">
                  <c:v>0.0225495824524025</c:v>
                </c:pt>
                <c:pt idx="8">
                  <c:v>0.0225495811006393</c:v>
                </c:pt>
                <c:pt idx="9">
                  <c:v>0.0225495800269537</c:v>
                </c:pt>
                <c:pt idx="10">
                  <c:v>0.0225495791740582</c:v>
                </c:pt>
                <c:pt idx="11">
                  <c:v>0.0225495784965668</c:v>
                </c:pt>
                <c:pt idx="12">
                  <c:v>0.0225495779584417</c:v>
                </c:pt>
                <c:pt idx="13">
                  <c:v>0.0225495775309836</c:v>
                </c:pt>
                <c:pt idx="14">
                  <c:v>0.0225495771914774</c:v>
                </c:pt>
                <c:pt idx="15">
                  <c:v>0.0225495769217488</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0.0346620230306183</c:v>
                </c:pt>
                <c:pt idx="1">
                  <c:v>0.0333059274956082</c:v>
                </c:pt>
                <c:pt idx="2">
                  <c:v>0.0321771143360738</c:v>
                </c:pt>
                <c:pt idx="3">
                  <c:v>0.0311708728168769</c:v>
                </c:pt>
                <c:pt idx="4">
                  <c:v>0.0304012800182107</c:v>
                </c:pt>
                <c:pt idx="5">
                  <c:v>0.0297727226630573</c:v>
                </c:pt>
                <c:pt idx="6">
                  <c:v>0.0292618530841393</c:v>
                </c:pt>
                <c:pt idx="7">
                  <c:v>0.0288483543569362</c:v>
                </c:pt>
                <c:pt idx="8">
                  <c:v>0.0285148315022354</c:v>
                </c:pt>
                <c:pt idx="9">
                  <c:v>0.0282465941545684</c:v>
                </c:pt>
                <c:pt idx="10">
                  <c:v>0.0280313774727481</c:v>
                </c:pt>
                <c:pt idx="11">
                  <c:v>0.0278590384154898</c:v>
                </c:pt>
                <c:pt idx="12">
                  <c:v>0.0277212538505101</c:v>
                </c:pt>
                <c:pt idx="13">
                  <c:v>0.0276112373711501</c:v>
                </c:pt>
                <c:pt idx="14">
                  <c:v>0.0275234841033201</c:v>
                </c:pt>
                <c:pt idx="15">
                  <c:v>0.0274535473337112</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2.81807629605526</c:v>
                </c:pt>
                <c:pt idx="1">
                  <c:v>2.10005510812115</c:v>
                </c:pt>
                <c:pt idx="2">
                  <c:v>1.54708071958493</c:v>
                </c:pt>
                <c:pt idx="3">
                  <c:v>1.54708071945142</c:v>
                </c:pt>
                <c:pt idx="4">
                  <c:v>1.54708071934535</c:v>
                </c:pt>
                <c:pt idx="5">
                  <c:v>1.54708071926108</c:v>
                </c:pt>
                <c:pt idx="6">
                  <c:v>1.5126129092938</c:v>
                </c:pt>
                <c:pt idx="7">
                  <c:v>1.51261215293044</c:v>
                </c:pt>
                <c:pt idx="8">
                  <c:v>1.51261155212962</c:v>
                </c:pt>
                <c:pt idx="9">
                  <c:v>1.51261107489657</c:v>
                </c:pt>
                <c:pt idx="10">
                  <c:v>1.5126106958169</c:v>
                </c:pt>
                <c:pt idx="11">
                  <c:v>1.51261039470318</c:v>
                </c:pt>
                <c:pt idx="12">
                  <c:v>1.51261015552006</c:v>
                </c:pt>
                <c:pt idx="13">
                  <c:v>1.51260996553011</c:v>
                </c:pt>
                <c:pt idx="14">
                  <c:v>1.51260981461581</c:v>
                </c:pt>
                <c:pt idx="15">
                  <c:v>1.51260969474026</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0.861792562254349</c:v>
                </c:pt>
                <c:pt idx="2">
                  <c:v>0.837285157945877</c:v>
                </c:pt>
                <c:pt idx="3">
                  <c:v>0.812752537776718</c:v>
                </c:pt>
                <c:pt idx="4">
                  <c:v>0.795765401344262</c:v>
                </c:pt>
                <c:pt idx="5">
                  <c:v>0.781839849953792</c:v>
                </c:pt>
                <c:pt idx="6">
                  <c:v>0.770487539663312</c:v>
                </c:pt>
                <c:pt idx="7">
                  <c:v>0.761276568021818</c:v>
                </c:pt>
                <c:pt idx="8">
                  <c:v>0.753832524361675</c:v>
                </c:pt>
                <c:pt idx="9">
                  <c:v>0.747836169022487</c:v>
                </c:pt>
                <c:pt idx="10">
                  <c:v>0.743018986016164</c:v>
                </c:pt>
                <c:pt idx="11">
                  <c:v>0.73915762521044</c:v>
                </c:pt>
                <c:pt idx="12">
                  <c:v>0.736067981407362</c:v>
                </c:pt>
                <c:pt idx="13">
                  <c:v>0.733599408985552</c:v>
                </c:pt>
                <c:pt idx="14">
                  <c:v>0.731629369565312</c:v>
                </c:pt>
                <c:pt idx="15">
                  <c:v>0.730058662304645</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0.703688002161618</c:v>
                </c:pt>
                <c:pt idx="1">
                  <c:v>0.555811017249541</c:v>
                </c:pt>
                <c:pt idx="2">
                  <c:v>0.35949979785207</c:v>
                </c:pt>
                <c:pt idx="3">
                  <c:v>0.26124237565025</c:v>
                </c:pt>
                <c:pt idx="4">
                  <c:v>0.179211682398472</c:v>
                </c:pt>
                <c:pt idx="5">
                  <c:v>0.157612652905725</c:v>
                </c:pt>
                <c:pt idx="6">
                  <c:v>0.08993698645543</c:v>
                </c:pt>
                <c:pt idx="7">
                  <c:v>0.0693935604504703</c:v>
                </c:pt>
                <c:pt idx="8">
                  <c:v>0.0553065150911913</c:v>
                </c:pt>
                <c:pt idx="9">
                  <c:v>0.021365294936071</c:v>
                </c:pt>
                <c:pt idx="10">
                  <c:v>0.0213399703093975</c:v>
                </c:pt>
                <c:pt idx="11">
                  <c:v>0.0213198542341142</c:v>
                </c:pt>
                <c:pt idx="12">
                  <c:v>0.0213038754618644</c:v>
                </c:pt>
                <c:pt idx="13">
                  <c:v>0.0180862060349285</c:v>
                </c:pt>
                <c:pt idx="14">
                  <c:v>0.0145444343663481</c:v>
                </c:pt>
                <c:pt idx="15">
                  <c:v>0.0117309260179055</c:v>
                </c:pt>
                <c:pt idx="16">
                  <c:v>0.00949596387668228</c:v>
                </c:pt>
                <c:pt idx="17">
                  <c:v>0.00772059902808264</c:v>
                </c:pt>
                <c:pt idx="18">
                  <c:v>0.00631033160169991</c:v>
                </c:pt>
                <c:pt idx="19">
                  <c:v>0.00519008797200682</c:v>
                </c:pt>
                <c:pt idx="20">
                  <c:v>0.0043002289110361</c:v>
                </c:pt>
              </c:numCache>
            </c:numRef>
          </c:val>
          <c:smooth val="0"/>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0.0679924299592738</c:v>
                </c:pt>
                <c:pt idx="1">
                  <c:v>0.046219172703299</c:v>
                </c:pt>
                <c:pt idx="2">
                  <c:v>0.0325294809573662</c:v>
                </c:pt>
                <c:pt idx="3">
                  <c:v>0.0161678668185838</c:v>
                </c:pt>
                <c:pt idx="4">
                  <c:v>0.011491470391356</c:v>
                </c:pt>
                <c:pt idx="5">
                  <c:v>0.00859506008682454</c:v>
                </c:pt>
                <c:pt idx="6">
                  <c:v>0.00675260238719444</c:v>
                </c:pt>
                <c:pt idx="7">
                  <c:v>0.00670059226591802</c:v>
                </c:pt>
                <c:pt idx="8">
                  <c:v>0.00665927911918107</c:v>
                </c:pt>
                <c:pt idx="9">
                  <c:v>0.00662646289578683</c:v>
                </c:pt>
                <c:pt idx="10">
                  <c:v>0.00660039602750073</c:v>
                </c:pt>
                <c:pt idx="11">
                  <c:v>0.00373210034232407</c:v>
                </c:pt>
                <c:pt idx="12" c:formatCode="0.00E+00">
                  <c:v>5.32142055975626e-6</c:v>
                </c:pt>
                <c:pt idx="13" c:formatCode="0.00E+00">
                  <c:v>4.26885794491128e-6</c:v>
                </c:pt>
                <c:pt idx="14" c:formatCode="0.00E+00">
                  <c:v>3.43277771763795e-6</c:v>
                </c:pt>
                <c:pt idx="15" c:formatCode="0.00E+00">
                  <c:v>2.76865557147232e-6</c:v>
                </c:pt>
                <c:pt idx="16" c:formatCode="0.00E+00">
                  <c:v>2.24112455260439e-6</c:v>
                </c:pt>
                <c:pt idx="17" c:formatCode="0.00E+00">
                  <c:v>1.82209178856141e-6</c:v>
                </c:pt>
                <c:pt idx="18" c:formatCode="0.00E+00">
                  <c:v>1.48924227394431e-6</c:v>
                </c:pt>
                <c:pt idx="19" c:formatCode="0.00E+00">
                  <c:v>1.22485045439547e-6</c:v>
                </c:pt>
                <c:pt idx="20" c:formatCode="0.00E+00">
                  <c:v>1.01483654812995e-6</c:v>
                </c:pt>
              </c:numCache>
            </c:numRef>
          </c:val>
          <c:smooth val="0"/>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0.696350413521607</c:v>
                </c:pt>
                <c:pt idx="1">
                  <c:v>0.554945148625733</c:v>
                </c:pt>
                <c:pt idx="2">
                  <c:v>0.442093126645246</c:v>
                </c:pt>
                <c:pt idx="3">
                  <c:v>0.352114513619117</c:v>
                </c:pt>
                <c:pt idx="4">
                  <c:v>0.280427884321585</c:v>
                </c:pt>
                <c:pt idx="5">
                  <c:v>0.223349388335012</c:v>
                </c:pt>
                <c:pt idx="6">
                  <c:v>0.177924296583379</c:v>
                </c:pt>
                <c:pt idx="7">
                  <c:v>0.141787401453292</c:v>
                </c:pt>
                <c:pt idx="8">
                  <c:v>0.113048391184299</c:v>
                </c:pt>
                <c:pt idx="9">
                  <c:v>0.0901983991007319</c:v>
                </c:pt>
                <c:pt idx="10">
                  <c:v>0.0720342369890032</c:v>
                </c:pt>
                <c:pt idx="11">
                  <c:v>0.0575972314582834</c:v>
                </c:pt>
                <c:pt idx="12">
                  <c:v>0.0461240160366058</c:v>
                </c:pt>
                <c:pt idx="13">
                  <c:v>0.0370070475059005</c:v>
                </c:pt>
                <c:pt idx="14">
                  <c:v>0.0297629913724327</c:v>
                </c:pt>
                <c:pt idx="15">
                  <c:v>0.0240074501357125</c:v>
                </c:pt>
                <c:pt idx="16">
                  <c:v>0.0194347882973599</c:v>
                </c:pt>
                <c:pt idx="17">
                  <c:v>0.0158020429269827</c:v>
                </c:pt>
                <c:pt idx="18">
                  <c:v>0.0129161029824781</c:v>
                </c:pt>
                <c:pt idx="19">
                  <c:v>0.0106234999535179</c:v>
                </c:pt>
                <c:pt idx="20">
                  <c:v>0.00880228215149022</c:v>
                </c:pt>
              </c:numCache>
            </c:numRef>
          </c:val>
          <c:smooth val="0"/>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0.0406171647345244</c:v>
                </c:pt>
                <c:pt idx="1">
                  <c:v>0.0332520218942256</c:v>
                </c:pt>
                <c:pt idx="2">
                  <c:v>0.0258868790539268</c:v>
                </c:pt>
                <c:pt idx="3">
                  <c:v>0.0211803849842152</c:v>
                </c:pt>
                <c:pt idx="4">
                  <c:v>0.0164738909145035</c:v>
                </c:pt>
                <c:pt idx="5">
                  <c:v>0.0134703172042339</c:v>
                </c:pt>
                <c:pt idx="6">
                  <c:v>0.0104667434939643</c:v>
                </c:pt>
                <c:pt idx="7">
                  <c:v>0.00856682183679181</c:v>
                </c:pt>
                <c:pt idx="8">
                  <c:v>0.00666690017961935</c:v>
                </c:pt>
                <c:pt idx="9">
                  <c:v>0.00546143802379606</c:v>
                </c:pt>
                <c:pt idx="10">
                  <c:v>0.00425597586797277</c:v>
                </c:pt>
                <c:pt idx="11">
                  <c:v>0.00345635869697936</c:v>
                </c:pt>
                <c:pt idx="12">
                  <c:v>0.00265674152598594</c:v>
                </c:pt>
                <c:pt idx="13">
                  <c:v>0.00217395791874964</c:v>
                </c:pt>
                <c:pt idx="14">
                  <c:v>0.00169117431151333</c:v>
                </c:pt>
                <c:pt idx="15">
                  <c:v>0.00136798437727625</c:v>
                </c:pt>
                <c:pt idx="16">
                  <c:v>0.00104479444303918</c:v>
                </c:pt>
                <c:pt idx="17">
                  <c:v>0.000852125552031069</c:v>
                </c:pt>
                <c:pt idx="18">
                  <c:v>0.000659456661022961</c:v>
                </c:pt>
                <c:pt idx="19">
                  <c:v>0.00053781989846069</c:v>
                </c:pt>
                <c:pt idx="20">
                  <c:v>0.000416183135898418</c:v>
                </c:pt>
              </c:numCache>
            </c:numRef>
          </c:val>
          <c:smooth val="0"/>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endParaRPr lang="en-US"/>
          </a:p>
          <a:p>
            <a:pPr>
              <a:defRPr lang="zh-CN" sz="1400" b="0" i="0" u="none" strike="noStrike" kern="1200" spc="0" baseline="0">
                <a:solidFill>
                  <a:schemeClr val="tx1">
                    <a:lumMod val="65000"/>
                    <a:lumOff val="35000"/>
                  </a:schemeClr>
                </a:solidFill>
                <a:latin typeface="+mn-lt"/>
                <a:ea typeface="+mn-ea"/>
                <a:cs typeface="+mn-cs"/>
              </a:defRPr>
            </a:pPr>
            <a:r>
              <a:rPr lang="en-US"/>
              <a:t>(20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c:v>
                </c:pt>
                <c:pt idx="2">
                  <c:v>0.216799211757235</c:v>
                </c:pt>
                <c:pt idx="3">
                  <c:v>0.173805316455133</c:v>
                </c:pt>
                <c:pt idx="4">
                  <c:v>0.138372037333168</c:v>
                </c:pt>
                <c:pt idx="5">
                  <c:v>0.1107856517503</c:v>
                </c:pt>
                <c:pt idx="6">
                  <c:v>0.0882791486940482</c:v>
                </c:pt>
                <c:pt idx="7">
                  <c:v>0.0705329144899625</c:v>
                </c:pt>
                <c:pt idx="8">
                  <c:v>0.0563193983226351</c:v>
                </c:pt>
                <c:pt idx="9">
                  <c:v>0.0451247729525206</c:v>
                </c:pt>
                <c:pt idx="10">
                  <c:v>0.0358291842027736</c:v>
                </c:pt>
                <c:pt idx="11">
                  <c:v>0.0287175223382619</c:v>
                </c:pt>
                <c:pt idx="12">
                  <c:v>0.0230547356658395</c:v>
                </c:pt>
                <c:pt idx="13">
                  <c:v>0.0185477734634842</c:v>
                </c:pt>
                <c:pt idx="14">
                  <c:v>0.0147772649912059</c:v>
                </c:pt>
                <c:pt idx="15">
                  <c:v>0.0119251982427571</c:v>
                </c:pt>
                <c:pt idx="16">
                  <c:v>0.00965741683915944</c:v>
                </c:pt>
                <c:pt idx="17">
                  <c:v>0.00785458858250099</c:v>
                </c:pt>
                <c:pt idx="18">
                  <c:v>0.00642162057040707</c:v>
                </c:pt>
                <c:pt idx="19">
                  <c:v>0.0052827833573188</c:v>
                </c:pt>
                <c:pt idx="20">
                  <c:v>0.00437779879979283</c:v>
                </c:pt>
              </c:numCache>
            </c:numRef>
          </c:val>
          <c:smooth val="0"/>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0.0377921821359761</c:v>
                </c:pt>
                <c:pt idx="1">
                  <c:v>0.0302444355727127</c:v>
                </c:pt>
                <c:pt idx="2">
                  <c:v>0.0241809017361816</c:v>
                </c:pt>
                <c:pt idx="3">
                  <c:v>0.019319152579278</c:v>
                </c:pt>
                <c:pt idx="4">
                  <c:v>0.015427427133885</c:v>
                </c:pt>
                <c:pt idx="5">
                  <c:v>0.012316523894973</c:v>
                </c:pt>
                <c:pt idx="6">
                  <c:v>0.00980319575024646</c:v>
                </c:pt>
                <c:pt idx="7">
                  <c:v>0.00782191209137695</c:v>
                </c:pt>
                <c:pt idx="8">
                  <c:v>0.00624278801422129</c:v>
                </c:pt>
                <c:pt idx="9">
                  <c:v>0.00498501792766115</c:v>
                </c:pt>
                <c:pt idx="10">
                  <c:v>0.00398374100378796</c:v>
                </c:pt>
                <c:pt idx="11">
                  <c:v>0.00318699701363778</c:v>
                </c:pt>
                <c:pt idx="12">
                  <c:v>0.00255322785757128</c:v>
                </c:pt>
                <c:pt idx="13">
                  <c:v>0.00204923929310041</c:v>
                </c:pt>
                <c:pt idx="14">
                  <c:v>0.00164854639891354</c:v>
                </c:pt>
                <c:pt idx="15">
                  <c:v>0.0013300360728441</c:v>
                </c:pt>
                <c:pt idx="16">
                  <c:v>0.00107688947399431</c:v>
                </c:pt>
                <c:pt idx="17">
                  <c:v>0.000875716289194806</c:v>
                </c:pt>
                <c:pt idx="18">
                  <c:v>0.000715860743183416</c:v>
                </c:pt>
                <c:pt idx="19">
                  <c:v>0.000588846294791168</c:v>
                </c:pt>
                <c:pt idx="20">
                  <c:v>0.000487931953818688</c:v>
                </c:pt>
              </c:numCache>
            </c:numRef>
          </c:val>
          <c:smooth val="0"/>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0.472550283617875</c:v>
                </c:pt>
                <c:pt idx="1">
                  <c:v>0.400975344415818</c:v>
                </c:pt>
                <c:pt idx="2">
                  <c:v>0.338768755843252</c:v>
                </c:pt>
                <c:pt idx="3">
                  <c:v>0.27935448603159</c:v>
                </c:pt>
                <c:pt idx="4">
                  <c:v>0.23266151487287</c:v>
                </c:pt>
                <c:pt idx="5">
                  <c:v>0.192767125249736</c:v>
                </c:pt>
                <c:pt idx="6">
                  <c:v>0.158929527480056</c:v>
                </c:pt>
                <c:pt idx="7">
                  <c:v>0.130444616443142</c:v>
                </c:pt>
                <c:pt idx="8">
                  <c:v>0.106643993404842</c:v>
                </c:pt>
                <c:pt idx="9">
                  <c:v>0.0868986612290651</c:v>
                </c:pt>
                <c:pt idx="10">
                  <c:v>0.070625438988523</c:v>
                </c:pt>
                <c:pt idx="11">
                  <c:v>0.0572932980704289</c:v>
                </c:pt>
                <c:pt idx="12">
                  <c:v>0.0464277343846299</c:v>
                </c:pt>
                <c:pt idx="13">
                  <c:v>0.0376123643546164</c:v>
                </c:pt>
                <c:pt idx="14">
                  <c:v>0.0304877862823801</c:v>
                </c:pt>
                <c:pt idx="15">
                  <c:v>0.0247482504363336</c:v>
                </c:pt>
                <c:pt idx="16">
                  <c:v>0.0201368655900326</c:v>
                </c:pt>
                <c:pt idx="17">
                  <c:v>0.0164400411410587</c:v>
                </c:pt>
                <c:pt idx="18">
                  <c:v>0.0134817281724009</c:v>
                </c:pt>
                <c:pt idx="19">
                  <c:v>0.0111178568192519</c:v>
                </c:pt>
                <c:pt idx="20">
                  <c:v>0.00923121496295263</c:v>
                </c:pt>
              </c:numCache>
            </c:numRef>
          </c:val>
          <c:smooth val="0"/>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0.0102506158813798</c:v>
                </c:pt>
                <c:pt idx="1">
                  <c:v>0.00836168859212338</c:v>
                </c:pt>
                <c:pt idx="2">
                  <c:v>0.006472761302867</c:v>
                </c:pt>
                <c:pt idx="3">
                  <c:v>0.00527940934346716</c:v>
                </c:pt>
                <c:pt idx="4">
                  <c:v>0.00408605738406731</c:v>
                </c:pt>
                <c:pt idx="5">
                  <c:v>0.00333249580467543</c:v>
                </c:pt>
                <c:pt idx="6">
                  <c:v>0.00257893422528355</c:v>
                </c:pt>
                <c:pt idx="7">
                  <c:v>0.00210322656997164</c:v>
                </c:pt>
                <c:pt idx="8">
                  <c:v>0.00162751891465973</c:v>
                </c:pt>
                <c:pt idx="9">
                  <c:v>0.00132727099798058</c:v>
                </c:pt>
                <c:pt idx="10">
                  <c:v>0.00102702308130143</c:v>
                </c:pt>
                <c:pt idx="11">
                  <c:v>0.000837540924764069</c:v>
                </c:pt>
                <c:pt idx="12">
                  <c:v>0.000648058768226711</c:v>
                </c:pt>
                <c:pt idx="13">
                  <c:v>0.000528488261447579</c:v>
                </c:pt>
                <c:pt idx="14">
                  <c:v>0.000408917754668448</c:v>
                </c:pt>
                <c:pt idx="15">
                  <c:v>0.000333467752283712</c:v>
                </c:pt>
                <c:pt idx="16">
                  <c:v>0.000258017749898976</c:v>
                </c:pt>
                <c:pt idx="17">
                  <c:v>0.000210409582535043</c:v>
                </c:pt>
                <c:pt idx="18">
                  <c:v>0.00016280141517111</c:v>
                </c:pt>
                <c:pt idx="19">
                  <c:v>0.000132761723004027</c:v>
                </c:pt>
                <c:pt idx="20">
                  <c:v>0.000102722030836944</c:v>
                </c:pt>
              </c:numCache>
            </c:numRef>
          </c:val>
          <c:smooth val="0"/>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0.036328</c:v>
                </c:pt>
                <c:pt idx="1">
                  <c:v>0.036188</c:v>
                </c:pt>
                <c:pt idx="2">
                  <c:v>0.032327</c:v>
                </c:pt>
                <c:pt idx="3">
                  <c:v>0.031921</c:v>
                </c:pt>
                <c:pt idx="4">
                  <c:v>0.027106</c:v>
                </c:pt>
                <c:pt idx="5">
                  <c:v>0.026142</c:v>
                </c:pt>
                <c:pt idx="6">
                  <c:v>0.025972</c:v>
                </c:pt>
                <c:pt idx="7">
                  <c:v>0.025592</c:v>
                </c:pt>
                <c:pt idx="8">
                  <c:v>0.024962</c:v>
                </c:pt>
                <c:pt idx="9">
                  <c:v>0.024748</c:v>
                </c:pt>
                <c:pt idx="10">
                  <c:v>0.024655</c:v>
                </c:pt>
              </c:numCache>
            </c:numRef>
          </c:val>
          <c:smooth val="0"/>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c:v>
                </c:pt>
                <c:pt idx="1">
                  <c:v>4.66086329765607</c:v>
                </c:pt>
                <c:pt idx="2">
                  <c:v>4.28017479616909</c:v>
                </c:pt>
                <c:pt idx="3">
                  <c:v>3.4335030583783</c:v>
                </c:pt>
                <c:pt idx="4">
                  <c:v>2.91387001536556</c:v>
                </c:pt>
                <c:pt idx="5">
                  <c:v>2.91369630633687</c:v>
                </c:pt>
                <c:pt idx="6">
                  <c:v>2.17526395820336</c:v>
                </c:pt>
                <c:pt idx="7">
                  <c:v>1.58741057820539</c:v>
                </c:pt>
                <c:pt idx="8">
                  <c:v>1.22949866238127</c:v>
                </c:pt>
                <c:pt idx="9">
                  <c:v>1.11314684072625</c:v>
                </c:pt>
                <c:pt idx="10">
                  <c:v>0.998802994628989</c:v>
                </c:pt>
                <c:pt idx="11">
                  <c:v>0.629583840795067</c:v>
                </c:pt>
                <c:pt idx="12">
                  <c:v>0.504699872484382</c:v>
                </c:pt>
                <c:pt idx="13">
                  <c:v>0.405276758939277</c:v>
                </c:pt>
                <c:pt idx="14">
                  <c:v>0.326160246241736</c:v>
                </c:pt>
                <c:pt idx="15">
                  <c:v>0.263225998872518</c:v>
                </c:pt>
                <c:pt idx="16">
                  <c:v>0.21317880022147</c:v>
                </c:pt>
                <c:pt idx="17">
                  <c:v>0.173389036000138</c:v>
                </c:pt>
                <c:pt idx="18">
                  <c:v>0.141760248259681</c:v>
                </c:pt>
                <c:pt idx="19">
                  <c:v>0.116622301189717</c:v>
                </c:pt>
                <c:pt idx="20">
                  <c:v>0.096645485409852</c:v>
                </c:pt>
              </c:numCache>
            </c:numRef>
          </c:val>
          <c:smooth val="0"/>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53.4777722230833</c:v>
                </c:pt>
                <c:pt idx="1">
                  <c:v>47.8939072785795</c:v>
                </c:pt>
                <c:pt idx="2">
                  <c:v>42.3648101113879</c:v>
                </c:pt>
                <c:pt idx="3">
                  <c:v>37.0207272564192</c:v>
                </c:pt>
                <c:pt idx="4">
                  <c:v>31.9754476389452</c:v>
                </c:pt>
                <c:pt idx="5">
                  <c:v>27.3177369815802</c:v>
                </c:pt>
                <c:pt idx="6">
                  <c:v>23.1068320129161</c:v>
                </c:pt>
                <c:pt idx="7">
                  <c:v>19.3721489464581</c:v>
                </c:pt>
                <c:pt idx="8">
                  <c:v>16.1164624803627</c:v>
                </c:pt>
                <c:pt idx="9">
                  <c:v>13.3212900530972</c:v>
                </c:pt>
                <c:pt idx="10">
                  <c:v>10.9531324695502</c:v>
                </c:pt>
                <c:pt idx="11">
                  <c:v>8.96947169039111</c:v>
                </c:pt>
                <c:pt idx="12">
                  <c:v>7.32383070704241</c:v>
                </c:pt>
                <c:pt idx="13">
                  <c:v>5.96959849165349</c:v>
                </c:pt>
                <c:pt idx="14">
                  <c:v>4.86262165357205</c:v>
                </c:pt>
                <c:pt idx="15">
                  <c:v>3.96273874809511</c:v>
                </c:pt>
                <c:pt idx="16">
                  <c:v>3.23450217051475</c:v>
                </c:pt>
                <c:pt idx="17">
                  <c:v>2.64733171948742</c:v>
                </c:pt>
                <c:pt idx="18">
                  <c:v>2.17530691279937</c:v>
                </c:pt>
                <c:pt idx="19">
                  <c:v>1.79675613999156</c:v>
                </c:pt>
                <c:pt idx="20">
                  <c:v>1.49375371210783</c:v>
                </c:pt>
              </c:numCache>
            </c:numRef>
          </c:val>
          <c:smooth val="0"/>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0.0540028030316386</c:v>
                </c:pt>
                <c:pt idx="1">
                  <c:v>0.0443306153685152</c:v>
                </c:pt>
                <c:pt idx="2">
                  <c:v>0.0346584277053919</c:v>
                </c:pt>
                <c:pt idx="3">
                  <c:v>0.0282353627404697</c:v>
                </c:pt>
                <c:pt idx="4">
                  <c:v>0.0218122977755475</c:v>
                </c:pt>
                <c:pt idx="5">
                  <c:v>0.0178809311701389</c:v>
                </c:pt>
                <c:pt idx="6">
                  <c:v>0.0139495645647303</c:v>
                </c:pt>
                <c:pt idx="7">
                  <c:v>0.011394988550828</c:v>
                </c:pt>
                <c:pt idx="8">
                  <c:v>0.00884041253692569</c:v>
                </c:pt>
                <c:pt idx="9">
                  <c:v>0.00725474002235549</c:v>
                </c:pt>
                <c:pt idx="10">
                  <c:v>0.00566906750778529</c:v>
                </c:pt>
                <c:pt idx="11">
                  <c:v>0.00461102749212405</c:v>
                </c:pt>
                <c:pt idx="12">
                  <c:v>0.00355298747646282</c:v>
                </c:pt>
                <c:pt idx="13">
                  <c:v>0.00291826463909572</c:v>
                </c:pt>
                <c:pt idx="14">
                  <c:v>0.00228354180172863</c:v>
                </c:pt>
                <c:pt idx="15">
                  <c:v>0.00188253752552159</c:v>
                </c:pt>
                <c:pt idx="16">
                  <c:v>0.00148153324931455</c:v>
                </c:pt>
                <c:pt idx="17">
                  <c:v>0.00117408381975492</c:v>
                </c:pt>
                <c:pt idx="18">
                  <c:v>0.000866634390195298</c:v>
                </c:pt>
                <c:pt idx="19">
                  <c:v>0.000706776884368265</c:v>
                </c:pt>
                <c:pt idx="20">
                  <c:v>0.000546919378541233</c:v>
                </c:pt>
              </c:numCache>
            </c:numRef>
          </c:val>
          <c:smooth val="0"/>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c:v>
                </c:pt>
                <c:pt idx="1">
                  <c:v>0.18055</c:v>
                </c:pt>
                <c:pt idx="2">
                  <c:v>0.12797</c:v>
                </c:pt>
                <c:pt idx="3">
                  <c:v>0.081133</c:v>
                </c:pt>
                <c:pt idx="4">
                  <c:v>0.071842</c:v>
                </c:pt>
                <c:pt idx="5">
                  <c:v>0.033445</c:v>
                </c:pt>
                <c:pt idx="6">
                  <c:v>0.032207</c:v>
                </c:pt>
                <c:pt idx="7">
                  <c:v>0.031332</c:v>
                </c:pt>
                <c:pt idx="8">
                  <c:v>0.031023</c:v>
                </c:pt>
                <c:pt idx="9">
                  <c:v>0.029548</c:v>
                </c:pt>
                <c:pt idx="10">
                  <c:v>0.029293</c:v>
                </c:pt>
              </c:numCache>
            </c:numRef>
          </c:val>
          <c:smooth val="0"/>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0179960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c:v>
                </c:pt>
                <c:pt idx="1">
                  <c:v>0.47816572655891</c:v>
                </c:pt>
                <c:pt idx="2">
                  <c:v>0.384555218668647</c:v>
                </c:pt>
                <c:pt idx="3">
                  <c:v>0.308673570017359</c:v>
                </c:pt>
                <c:pt idx="4">
                  <c:v>0.247389499513684</c:v>
                </c:pt>
                <c:pt idx="5">
                  <c:v>0.198047480198749</c:v>
                </c:pt>
                <c:pt idx="6">
                  <c:v>0.158422144249615</c:v>
                </c:pt>
                <c:pt idx="7">
                  <c:v>0.127414865975117</c:v>
                </c:pt>
                <c:pt idx="8">
                  <c:v>0.102996944259282</c:v>
                </c:pt>
                <c:pt idx="9">
                  <c:v>0.0831455402691139</c:v>
                </c:pt>
                <c:pt idx="10">
                  <c:v>0.0670580374797836</c:v>
                </c:pt>
                <c:pt idx="11">
                  <c:v>0.0540594580705545</c:v>
                </c:pt>
                <c:pt idx="12">
                  <c:v>0.04358497504241</c:v>
                </c:pt>
                <c:pt idx="13">
                  <c:v>0.0351646002210382</c:v>
                </c:pt>
                <c:pt idx="14">
                  <c:v>0.0284095592213207</c:v>
                </c:pt>
                <c:pt idx="15">
                  <c:v>0.0230001087588527</c:v>
                </c:pt>
                <c:pt idx="16">
                  <c:v>0.0186746928580228</c:v>
                </c:pt>
                <c:pt idx="17">
                  <c:v>0.015220389970616</c:v>
                </c:pt>
                <c:pt idx="18">
                  <c:v>0.0124646055609468</c:v>
                </c:pt>
                <c:pt idx="19">
                  <c:v>0.0102679439390685</c:v>
                </c:pt>
                <c:pt idx="20">
                  <c:v>0.00851816866824784</c:v>
                </c:pt>
              </c:numCache>
            </c:numRef>
          </c:val>
          <c:smooth val="0"/>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9.91538884178935</c:v>
                </c:pt>
                <c:pt idx="1">
                  <c:v>8.56273049322403</c:v>
                </c:pt>
                <c:pt idx="2">
                  <c:v>7.36194354643621</c:v>
                </c:pt>
                <c:pt idx="3">
                  <c:v>6.01986198889484</c:v>
                </c:pt>
                <c:pt idx="4">
                  <c:v>5.06544003975604</c:v>
                </c:pt>
                <c:pt idx="5">
                  <c:v>4.23492520875387</c:v>
                </c:pt>
                <c:pt idx="6">
                  <c:v>3.51895875350865</c:v>
                </c:pt>
                <c:pt idx="7">
                  <c:v>2.90764548096603</c:v>
                </c:pt>
                <c:pt idx="8">
                  <c:v>2.39060892655435</c:v>
                </c:pt>
                <c:pt idx="9">
                  <c:v>1.95722714611757</c:v>
                </c:pt>
                <c:pt idx="10">
                  <c:v>1.59696172320988</c:v>
                </c:pt>
                <c:pt idx="11">
                  <c:v>1.29969245087946</c:v>
                </c:pt>
                <c:pt idx="12">
                  <c:v>1.05599495979696</c:v>
                </c:pt>
                <c:pt idx="13">
                  <c:v>0.857330520417378</c:v>
                </c:pt>
                <c:pt idx="14">
                  <c:v>0.696144124057127</c:v>
                </c:pt>
                <c:pt idx="15">
                  <c:v>0.56588383401681</c:v>
                </c:pt>
                <c:pt idx="16">
                  <c:v>0.46096169404313</c:v>
                </c:pt>
                <c:pt idx="17">
                  <c:v>0.376677008356371</c:v>
                </c:pt>
                <c:pt idx="18">
                  <c:v>0.309119667094076</c:v>
                </c:pt>
                <c:pt idx="19">
                  <c:v>0.255066745714566</c:v>
                </c:pt>
                <c:pt idx="20">
                  <c:v>0.211881272448051</c:v>
                </c:pt>
              </c:numCache>
            </c:numRef>
          </c:val>
          <c:smooth val="0"/>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0.0362216583710384</c:v>
                </c:pt>
                <c:pt idx="1">
                  <c:v>0.0295881828467348</c:v>
                </c:pt>
                <c:pt idx="2">
                  <c:v>0.0229547073224312</c:v>
                </c:pt>
                <c:pt idx="3">
                  <c:v>0.0187395096239162</c:v>
                </c:pt>
                <c:pt idx="4">
                  <c:v>0.0145243119254013</c:v>
                </c:pt>
                <c:pt idx="5">
                  <c:v>0.0118525208657627</c:v>
                </c:pt>
                <c:pt idx="6">
                  <c:v>0.00918072980612417</c:v>
                </c:pt>
                <c:pt idx="7">
                  <c:v>0.0074900061036165</c:v>
                </c:pt>
                <c:pt idx="8">
                  <c:v>0.00579928240110883</c:v>
                </c:pt>
                <c:pt idx="9">
                  <c:v>0.00473051937540658</c:v>
                </c:pt>
                <c:pt idx="10">
                  <c:v>0.00366175634970434</c:v>
                </c:pt>
                <c:pt idx="11">
                  <c:v>0.00298661498887021</c:v>
                </c:pt>
                <c:pt idx="12">
                  <c:v>0.00231147362803608</c:v>
                </c:pt>
                <c:pt idx="13">
                  <c:v>0.00188516925734294</c:v>
                </c:pt>
                <c:pt idx="14">
                  <c:v>0.00145886488664981</c:v>
                </c:pt>
                <c:pt idx="15">
                  <c:v>0.00118975765169282</c:v>
                </c:pt>
                <c:pt idx="16">
                  <c:v>0.000920650416735835</c:v>
                </c:pt>
                <c:pt idx="17">
                  <c:v>0.000750804432009256</c:v>
                </c:pt>
                <c:pt idx="18">
                  <c:v>0.000580958447282676</c:v>
                </c:pt>
                <c:pt idx="19">
                  <c:v>0.000473772628611924</c:v>
                </c:pt>
                <c:pt idx="20">
                  <c:v>0.000366586809941172</c:v>
                </c:pt>
              </c:numCache>
            </c:numRef>
          </c:val>
          <c:smooth val="0"/>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0.019381</c:v>
                </c:pt>
                <c:pt idx="1">
                  <c:v>0.0184806</c:v>
                </c:pt>
                <c:pt idx="2">
                  <c:v>0.016141</c:v>
                </c:pt>
                <c:pt idx="3">
                  <c:v>0.0122659</c:v>
                </c:pt>
                <c:pt idx="4">
                  <c:v>0.0091146</c:v>
                </c:pt>
                <c:pt idx="5">
                  <c:v>0.0051226</c:v>
                </c:pt>
                <c:pt idx="6">
                  <c:v>0.0048273</c:v>
                </c:pt>
                <c:pt idx="7">
                  <c:v>0.0046943</c:v>
                </c:pt>
                <c:pt idx="8">
                  <c:v>0.0045421</c:v>
                </c:pt>
                <c:pt idx="9">
                  <c:v>0.0042589</c:v>
                </c:pt>
                <c:pt idx="10">
                  <c:v>0.0036561</c:v>
                </c:pt>
              </c:numCache>
            </c:numRef>
          </c:val>
          <c:smooth val="0"/>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extLst>
                      <c:ext uri="{02D57815-91ED-43cb-92C2-25804820EDAC}">
                        <c15:fullRef>
                          <c15:sqref/>
                        </c15:fullRef>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133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c:v>
                </c:pt>
                <c:pt idx="1">
                  <c:v>2.94531106909359</c:v>
                </c:pt>
                <c:pt idx="2">
                  <c:v>2.3897483847942</c:v>
                </c:pt>
                <c:pt idx="3">
                  <c:v>1.88450286864473</c:v>
                </c:pt>
                <c:pt idx="4">
                  <c:v>1.5883054232268</c:v>
                </c:pt>
                <c:pt idx="5">
                  <c:v>1.27548065092756</c:v>
                </c:pt>
                <c:pt idx="6">
                  <c:v>1.10874531840098</c:v>
                </c:pt>
                <c:pt idx="7">
                  <c:v>0.728676969581299</c:v>
                </c:pt>
                <c:pt idx="8">
                  <c:v>0.559037129494033</c:v>
                </c:pt>
                <c:pt idx="9">
                  <c:v>0.428018273581532</c:v>
                </c:pt>
                <c:pt idx="10">
                  <c:v>0.319436359042824</c:v>
                </c:pt>
                <c:pt idx="11">
                  <c:v>0.184422319820465</c:v>
                </c:pt>
                <c:pt idx="12">
                  <c:v>0.167365006331766</c:v>
                </c:pt>
                <c:pt idx="13">
                  <c:v>0.15823115914434</c:v>
                </c:pt>
                <c:pt idx="14">
                  <c:v>0.138358571899011</c:v>
                </c:pt>
                <c:pt idx="15">
                  <c:v>0.0530995042703708</c:v>
                </c:pt>
                <c:pt idx="16">
                  <c:v>0.0265476988569047</c:v>
                </c:pt>
                <c:pt idx="17">
                  <c:v>0.0238383594072356</c:v>
                </c:pt>
                <c:pt idx="18">
                  <c:v>0.0216861497653542</c:v>
                </c:pt>
                <c:pt idx="19">
                  <c:v>0.0213199621092341</c:v>
                </c:pt>
                <c:pt idx="20">
                  <c:v>0.01946990161239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0.046084360700327</c:v>
                </c:pt>
                <c:pt idx="1">
                  <c:v>0.0443273834430435</c:v>
                </c:pt>
                <c:pt idx="2">
                  <c:v>0.038101393492096</c:v>
                </c:pt>
                <c:pt idx="3">
                  <c:v>0.0381009103473939</c:v>
                </c:pt>
                <c:pt idx="4">
                  <c:v>0.0381005265719048</c:v>
                </c:pt>
                <c:pt idx="5">
                  <c:v>0.0381002217282211</c:v>
                </c:pt>
                <c:pt idx="6">
                  <c:v>0.0380999795822512</c:v>
                </c:pt>
                <c:pt idx="7">
                  <c:v>0.0380997872388544</c:v>
                </c:pt>
                <c:pt idx="8">
                  <c:v>0.038099634455091</c:v>
                </c:pt>
                <c:pt idx="9">
                  <c:v>0.0380995130946138</c:v>
                </c:pt>
                <c:pt idx="10">
                  <c:v>0.0380994166945703</c:v>
                </c:pt>
                <c:pt idx="11">
                  <c:v>0.0380993401213114</c:v>
                </c:pt>
                <c:pt idx="12">
                  <c:v>0.0380801673747322</c:v>
                </c:pt>
                <c:pt idx="13">
                  <c:v>0.0379692914756702</c:v>
                </c:pt>
                <c:pt idx="14">
                  <c:v>0.0378812194190559</c:v>
                </c:pt>
                <c:pt idx="15">
                  <c:v>0.0378112611719272</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c:v>
                </c:pt>
                <c:pt idx="1">
                  <c:v>1.31427254245888</c:v>
                </c:pt>
                <c:pt idx="2">
                  <c:v>1.07892130087039</c:v>
                </c:pt>
                <c:pt idx="3">
                  <c:v>0.88098370281855</c:v>
                </c:pt>
                <c:pt idx="4">
                  <c:v>0.717614279485523</c:v>
                </c:pt>
                <c:pt idx="5">
                  <c:v>0.583455374304431</c:v>
                </c:pt>
                <c:pt idx="6">
                  <c:v>0.471975079021836</c:v>
                </c:pt>
                <c:pt idx="7">
                  <c:v>0.380857481242836</c:v>
                </c:pt>
                <c:pt idx="8">
                  <c:v>0.307326143879971</c:v>
                </c:pt>
                <c:pt idx="9">
                  <c:v>0.247376911495423</c:v>
                </c:pt>
                <c:pt idx="10">
                  <c:v>0.198173572931104</c:v>
                </c:pt>
                <c:pt idx="11">
                  <c:v>0.159124547634582</c:v>
                </c:pt>
                <c:pt idx="12">
                  <c:v>0.127766515264105</c:v>
                </c:pt>
                <c:pt idx="13">
                  <c:v>0.102852992619706</c:v>
                </c:pt>
                <c:pt idx="14">
                  <c:v>0.0832115912398956</c:v>
                </c:pt>
                <c:pt idx="15">
                  <c:v>0.0669608660105014</c:v>
                </c:pt>
                <c:pt idx="16">
                  <c:v>0.0544314875490781</c:v>
                </c:pt>
                <c:pt idx="17">
                  <c:v>0.0440694711191236</c:v>
                </c:pt>
                <c:pt idx="18">
                  <c:v>0.0361064212334616</c:v>
                </c:pt>
                <c:pt idx="19">
                  <c:v>0.0297646579967004</c:v>
                </c:pt>
                <c:pt idx="20">
                  <c:v>0.0247166241818531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8.61494501345179</c:v>
                </c:pt>
                <c:pt idx="1">
                  <c:v>7.79244012858871</c:v>
                </c:pt>
                <c:pt idx="2">
                  <c:v>5.66907118973481</c:v>
                </c:pt>
                <c:pt idx="3">
                  <c:v>5.50829646621503</c:v>
                </c:pt>
                <c:pt idx="4">
                  <c:v>4.94725501948233</c:v>
                </c:pt>
                <c:pt idx="5">
                  <c:v>4.94642988465326</c:v>
                </c:pt>
                <c:pt idx="6">
                  <c:v>4.94577444653781</c:v>
                </c:pt>
                <c:pt idx="7">
                  <c:v>4.82427167167447</c:v>
                </c:pt>
                <c:pt idx="8">
                  <c:v>4.70535605846746</c:v>
                </c:pt>
                <c:pt idx="9">
                  <c:v>4.61068575599333</c:v>
                </c:pt>
                <c:pt idx="10">
                  <c:v>4.37908015940549</c:v>
                </c:pt>
                <c:pt idx="11">
                  <c:v>3.5315680288697</c:v>
                </c:pt>
                <c:pt idx="12">
                  <c:v>2.84756722739158</c:v>
                </c:pt>
                <c:pt idx="13">
                  <c:v>2.30245204779423</c:v>
                </c:pt>
                <c:pt idx="14">
                  <c:v>1.85570978208546</c:v>
                </c:pt>
                <c:pt idx="15">
                  <c:v>1.50209570373938</c:v>
                </c:pt>
                <c:pt idx="16">
                  <c:v>1.2193861797472</c:v>
                </c:pt>
                <c:pt idx="17">
                  <c:v>1.10041577109977</c:v>
                </c:pt>
                <c:pt idx="18">
                  <c:v>1.04863477800913</c:v>
                </c:pt>
                <c:pt idx="19">
                  <c:v>0.708887435835592</c:v>
                </c:pt>
                <c:pt idx="20">
                  <c:v>0.555882524993034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endParaRPr lang="en-US"/>
          </a:p>
        </c:rich>
      </c:tx>
      <c:layout>
        <c:manualLayout>
          <c:xMode val="edge"/>
          <c:yMode val="edge"/>
          <c:x val="0.11748596166515"/>
          <c:y val="0.0165837479270315"/>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c:v>
                </c:pt>
                <c:pt idx="1">
                  <c:v>2.32605954862586</c:v>
                </c:pt>
                <c:pt idx="2">
                  <c:v>1.93276431997336</c:v>
                </c:pt>
                <c:pt idx="3">
                  <c:v>1.60470503760121</c:v>
                </c:pt>
                <c:pt idx="4">
                  <c:v>1.31646017754252</c:v>
                </c:pt>
                <c:pt idx="5">
                  <c:v>1.08231110322413</c:v>
                </c:pt>
                <c:pt idx="6">
                  <c:v>0.866916150189456</c:v>
                </c:pt>
                <c:pt idx="7">
                  <c:v>0.704680604061569</c:v>
                </c:pt>
                <c:pt idx="8">
                  <c:v>0.571198063631007</c:v>
                </c:pt>
                <c:pt idx="9">
                  <c:v>0.461999945211711</c:v>
                </c:pt>
                <c:pt idx="10">
                  <c:v>0.37311350546968</c:v>
                </c:pt>
                <c:pt idx="11">
                  <c:v>0.301070817772597</c:v>
                </c:pt>
                <c:pt idx="12">
                  <c:v>0.242892567675068</c:v>
                </c:pt>
                <c:pt idx="13">
                  <c:v>0.196054127137724</c:v>
                </c:pt>
                <c:pt idx="14">
                  <c:v>0.158440978221808</c:v>
                </c:pt>
                <c:pt idx="15">
                  <c:v>0.12829936338955</c:v>
                </c:pt>
                <c:pt idx="16">
                  <c:v>0.104186543148921</c:v>
                </c:pt>
                <c:pt idx="17">
                  <c:v>0.0849235922045222</c:v>
                </c:pt>
                <c:pt idx="18">
                  <c:v>0.0695524506852285</c:v>
                </c:pt>
                <c:pt idx="19">
                  <c:v>0.0572980308415683</c:v>
                </c:pt>
                <c:pt idx="20">
                  <c:v>0.0475355484750195</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c:v>
                </c:pt>
                <c:pt idx="3">
                  <c:v>0.248187487887708</c:v>
                </c:pt>
                <c:pt idx="4">
                  <c:v>0.215547136543659</c:v>
                </c:pt>
                <c:pt idx="5">
                  <c:v>0.189476719912107</c:v>
                </c:pt>
                <c:pt idx="6">
                  <c:v>0.188417476255964</c:v>
                </c:pt>
                <c:pt idx="7">
                  <c:v>0.170399237133556</c:v>
                </c:pt>
                <c:pt idx="8">
                  <c:v>0.16492930298071</c:v>
                </c:pt>
                <c:pt idx="9">
                  <c:v>0.145874811704005</c:v>
                </c:pt>
                <c:pt idx="10">
                  <c:v>0.125583291168263</c:v>
                </c:pt>
                <c:pt idx="11">
                  <c:v>0.0583340863098192</c:v>
                </c:pt>
                <c:pt idx="12">
                  <c:v>0.0387590255988446</c:v>
                </c:pt>
                <c:pt idx="13">
                  <c:v>0.0310949811332617</c:v>
                </c:pt>
                <c:pt idx="14">
                  <c:v>0.0100718573375902</c:v>
                </c:pt>
                <c:pt idx="15">
                  <c:v>0.0100555720594753</c:v>
                </c:pt>
                <c:pt idx="16">
                  <c:v>0.0100426361995809</c:v>
                </c:pt>
                <c:pt idx="17">
                  <c:v>0.0100323608783537</c:v>
                </c:pt>
                <c:pt idx="18">
                  <c:v>0.0100241988990391</c:v>
                </c:pt>
                <c:pt idx="19">
                  <c:v>0.00854055417626176</c:v>
                </c:pt>
                <c:pt idx="20">
                  <c:v>0.00739396765453426</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c:v>
                </c:pt>
                <c:pt idx="1">
                  <c:v>0.138417611767383</c:v>
                </c:pt>
                <c:pt idx="2">
                  <c:v>0.110865223503476</c:v>
                </c:pt>
                <c:pt idx="3">
                  <c:v>0.0887117833353379</c:v>
                </c:pt>
                <c:pt idx="4">
                  <c:v>0.0709907079615824</c:v>
                </c:pt>
                <c:pt idx="5">
                  <c:v>0.0567222078725616</c:v>
                </c:pt>
                <c:pt idx="6">
                  <c:v>0.0452458924351085</c:v>
                </c:pt>
                <c:pt idx="7">
                  <c:v>0.036201234570088</c:v>
                </c:pt>
                <c:pt idx="8">
                  <c:v>0.0287918143148991</c:v>
                </c:pt>
                <c:pt idx="9">
                  <c:v>0.0230184221916563</c:v>
                </c:pt>
                <c:pt idx="10">
                  <c:v>0.0184129314680148</c:v>
                </c:pt>
                <c:pt idx="11">
                  <c:v>0.0147420187733061</c:v>
                </c:pt>
                <c:pt idx="12">
                  <c:v>0.0118179619692627</c:v>
                </c:pt>
                <c:pt idx="13">
                  <c:v>0.0094900710464696</c:v>
                </c:pt>
                <c:pt idx="14">
                  <c:v>0.00763761516670014</c:v>
                </c:pt>
                <c:pt idx="15">
                  <c:v>0.00616402177526787</c:v>
                </c:pt>
                <c:pt idx="16">
                  <c:v>0.00499214532239112</c:v>
                </c:pt>
                <c:pt idx="17">
                  <c:v>0.00406042664017337</c:v>
                </c:pt>
                <c:pt idx="18">
                  <c:v>0.00331978776852981</c:v>
                </c:pt>
                <c:pt idx="19">
                  <c:v>0.0027311297580046</c:v>
                </c:pt>
                <c:pt idx="20">
                  <c:v>0.00226332191379797</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3.84448032631353</c:v>
                </c:pt>
                <c:pt idx="1">
                  <c:v>3.84321245441925</c:v>
                </c:pt>
                <c:pt idx="2">
                  <c:v>3.28107129911284</c:v>
                </c:pt>
                <c:pt idx="3">
                  <c:v>2.22926714882477</c:v>
                </c:pt>
                <c:pt idx="4">
                  <c:v>2.22924370890365</c:v>
                </c:pt>
                <c:pt idx="5">
                  <c:v>2.22922508990439</c:v>
                </c:pt>
                <c:pt idx="6">
                  <c:v>1.96381540592635</c:v>
                </c:pt>
                <c:pt idx="7">
                  <c:v>1.5650776522665</c:v>
                </c:pt>
                <c:pt idx="8">
                  <c:v>1.24602619298899</c:v>
                </c:pt>
                <c:pt idx="9">
                  <c:v>0.991114431324403</c:v>
                </c:pt>
                <c:pt idx="10">
                  <c:v>0.787689491520149</c:v>
                </c:pt>
                <c:pt idx="11">
                  <c:v>0.625505634553103</c:v>
                </c:pt>
                <c:pt idx="12">
                  <c:v>0.496299413874501</c:v>
                </c:pt>
                <c:pt idx="13">
                  <c:v>0.39342717591766</c:v>
                </c:pt>
                <c:pt idx="14">
                  <c:v>0.354667586717572</c:v>
                </c:pt>
                <c:pt idx="15">
                  <c:v>0.345528830561825</c:v>
                </c:pt>
                <c:pt idx="16">
                  <c:v>0.279877374104887</c:v>
                </c:pt>
                <c:pt idx="17">
                  <c:v>0.227666794982273</c:v>
                </c:pt>
                <c:pt idx="18">
                  <c:v>0.186155418792977</c:v>
                </c:pt>
                <c:pt idx="19">
                  <c:v>0.153157097254231</c:v>
                </c:pt>
                <c:pt idx="20">
                  <c:v>0.126930021462091</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c:v>
                </c:pt>
                <c:pt idx="1">
                  <c:v>0.270254918956148</c:v>
                </c:pt>
                <c:pt idx="2">
                  <c:v>0.220162197942475</c:v>
                </c:pt>
                <c:pt idx="3">
                  <c:v>0.179275008435542</c:v>
                </c:pt>
                <c:pt idx="4">
                  <c:v>0.145525151641013</c:v>
                </c:pt>
                <c:pt idx="5">
                  <c:v>0.117801783630855</c:v>
                </c:pt>
                <c:pt idx="6">
                  <c:v>0.0951345835329187</c:v>
                </c:pt>
                <c:pt idx="7">
                  <c:v>0.0766814324559051</c:v>
                </c:pt>
                <c:pt idx="8">
                  <c:v>0.0617175980407003</c:v>
                </c:pt>
                <c:pt idx="9">
                  <c:v>0.0496252164928213</c:v>
                </c:pt>
                <c:pt idx="10">
                  <c:v>0.0398825651778068</c:v>
                </c:pt>
                <c:pt idx="11">
                  <c:v>0.0320531305983751</c:v>
                </c:pt>
                <c:pt idx="12">
                  <c:v>0.0257747485631121</c:v>
                </c:pt>
                <c:pt idx="13">
                  <c:v>0.0207491687238104</c:v>
                </c:pt>
                <c:pt idx="14">
                  <c:v>0.0167323497756833</c:v>
                </c:pt>
                <c:pt idx="15">
                  <c:v>0.0135256928709526</c:v>
                </c:pt>
                <c:pt idx="16">
                  <c:v>0.0109683153408757</c:v>
                </c:pt>
                <c:pt idx="17">
                  <c:v>0.00893037863413104</c:v>
                </c:pt>
                <c:pt idx="18">
                  <c:v>0.00730742157557529</c:v>
                </c:pt>
                <c:pt idx="19">
                  <c:v>0.00601561170301412</c:v>
                </c:pt>
                <c:pt idx="20">
                  <c:v>0.0049878087209243</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2.9226157730317</c:v>
                </c:pt>
                <c:pt idx="1">
                  <c:v>2.36540255315618</c:v>
                </c:pt>
                <c:pt idx="2">
                  <c:v>1.80647636877119</c:v>
                </c:pt>
                <c:pt idx="3">
                  <c:v>1.34512890219776</c:v>
                </c:pt>
                <c:pt idx="4">
                  <c:v>1.15595002991641</c:v>
                </c:pt>
                <c:pt idx="5">
                  <c:v>0.928773711062703</c:v>
                </c:pt>
                <c:pt idx="6">
                  <c:v>0.738239639635208</c:v>
                </c:pt>
                <c:pt idx="7">
                  <c:v>0.643611066114258</c:v>
                </c:pt>
                <c:pt idx="8">
                  <c:v>0.562116460128748</c:v>
                </c:pt>
                <c:pt idx="9">
                  <c:v>0.477461829869741</c:v>
                </c:pt>
                <c:pt idx="10">
                  <c:v>0.421048645660915</c:v>
                </c:pt>
                <c:pt idx="11">
                  <c:v>0.35411572689833</c:v>
                </c:pt>
                <c:pt idx="12">
                  <c:v>0.248413135342229</c:v>
                </c:pt>
                <c:pt idx="13">
                  <c:v>0.2148105745295</c:v>
                </c:pt>
                <c:pt idx="14">
                  <c:v>0.188997225785714</c:v>
                </c:pt>
                <c:pt idx="15">
                  <c:v>0.188085687818429</c:v>
                </c:pt>
                <c:pt idx="16">
                  <c:v>0.164943597601297</c:v>
                </c:pt>
                <c:pt idx="17">
                  <c:v>0.152164059931703</c:v>
                </c:pt>
                <c:pt idx="18">
                  <c:v>0.146067073019462</c:v>
                </c:pt>
                <c:pt idx="19">
                  <c:v>0.145956121071</c:v>
                </c:pt>
                <c:pt idx="20">
                  <c:v>0.0765824560374107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manualLayout>
          <c:xMode val="edge"/>
          <c:yMode val="edge"/>
          <c:x val="0.114298710669134"/>
          <c:y val="0.019900545626817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c:v>
                </c:pt>
                <c:pt idx="1">
                  <c:v>0.884021229008791</c:v>
                </c:pt>
                <c:pt idx="2">
                  <c:v>0.725940804436365</c:v>
                </c:pt>
                <c:pt idx="3">
                  <c:v>0.594454054376281</c:v>
                </c:pt>
                <c:pt idx="4">
                  <c:v>0.48508260548763</c:v>
                </c:pt>
                <c:pt idx="5">
                  <c:v>0.394178042637927</c:v>
                </c:pt>
                <c:pt idx="6">
                  <c:v>0.319177346894917</c:v>
                </c:pt>
                <c:pt idx="7">
                  <c:v>0.259167131176941</c:v>
                </c:pt>
                <c:pt idx="8">
                  <c:v>0.2094319677722</c:v>
                </c:pt>
                <c:pt idx="9">
                  <c:v>0.168429103714607</c:v>
                </c:pt>
                <c:pt idx="10">
                  <c:v>0.135997151111067</c:v>
                </c:pt>
                <c:pt idx="11">
                  <c:v>0.109362620387832</c:v>
                </c:pt>
                <c:pt idx="12">
                  <c:v>0.0881108249109919</c:v>
                </c:pt>
                <c:pt idx="13">
                  <c:v>0.0711256066332267</c:v>
                </c:pt>
                <c:pt idx="14">
                  <c:v>0.057275667467549</c:v>
                </c:pt>
                <c:pt idx="15">
                  <c:v>0.0462822196108825</c:v>
                </c:pt>
                <c:pt idx="16">
                  <c:v>0.0376289693883036</c:v>
                </c:pt>
                <c:pt idx="17">
                  <c:v>0.0307139754667674</c:v>
                </c:pt>
                <c:pt idx="18">
                  <c:v>0.0251940466667655</c:v>
                </c:pt>
                <c:pt idx="19">
                  <c:v>0.0206124749383196</c:v>
                </c:pt>
                <c:pt idx="20">
                  <c:v>0.0171039381232307</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endParaRPr lang="en-US"/>
          </a:p>
        </c:rich>
      </c:tx>
      <c:layout>
        <c:manualLayout>
          <c:xMode val="edge"/>
          <c:yMode val="edge"/>
          <c:x val="0.135355985903269"/>
          <c:y val="0.019900396685564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c:v>
                </c:pt>
                <c:pt idx="1">
                  <c:v>9.66396296951991</c:v>
                </c:pt>
                <c:pt idx="2">
                  <c:v>9.51230142908796</c:v>
                </c:pt>
                <c:pt idx="3">
                  <c:v>8.11864098784401</c:v>
                </c:pt>
                <c:pt idx="4">
                  <c:v>8.11342971458889</c:v>
                </c:pt>
                <c:pt idx="5">
                  <c:v>7.13628616847707</c:v>
                </c:pt>
                <c:pt idx="6">
                  <c:v>5.72176188925343</c:v>
                </c:pt>
                <c:pt idx="7">
                  <c:v>4.56703602380633</c:v>
                </c:pt>
                <c:pt idx="8">
                  <c:v>4.27137901069996</c:v>
                </c:pt>
                <c:pt idx="9">
                  <c:v>3.84653488121618</c:v>
                </c:pt>
                <c:pt idx="10">
                  <c:v>3.84487444169386</c:v>
                </c:pt>
                <c:pt idx="11">
                  <c:v>3.84355546677081</c:v>
                </c:pt>
                <c:pt idx="12">
                  <c:v>3.84250774192328</c:v>
                </c:pt>
                <c:pt idx="13">
                  <c:v>2.66538658703154</c:v>
                </c:pt>
                <c:pt idx="14">
                  <c:v>2.04512126357901</c:v>
                </c:pt>
                <c:pt idx="15">
                  <c:v>1.65116442327076</c:v>
                </c:pt>
                <c:pt idx="16">
                  <c:v>1.54003902070892</c:v>
                </c:pt>
                <c:pt idx="17">
                  <c:v>1.0841457990296</c:v>
                </c:pt>
                <c:pt idx="18">
                  <c:v>0.883199935085832</c:v>
                </c:pt>
                <c:pt idx="19">
                  <c:v>0.722999221014875</c:v>
                </c:pt>
                <c:pt idx="20">
                  <c:v>0.595377129112851</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0.0129733641096141</c:v>
                </c:pt>
                <c:pt idx="1">
                  <c:v>0.0122258782390139</c:v>
                </c:pt>
                <c:pt idx="2">
                  <c:v>0.0116144953347441</c:v>
                </c:pt>
                <c:pt idx="3">
                  <c:v>0.0111167604324836</c:v>
                </c:pt>
                <c:pt idx="4">
                  <c:v>0.0107132055587655</c:v>
                </c:pt>
                <c:pt idx="5">
                  <c:v>0.0103871690789181</c:v>
                </c:pt>
                <c:pt idx="6">
                  <c:v>0.0101245572085573</c:v>
                </c:pt>
                <c:pt idx="7">
                  <c:v>0.00991357149161543</c:v>
                </c:pt>
                <c:pt idx="8">
                  <c:v>0.00974442391483699</c:v>
                </c:pt>
                <c:pt idx="9">
                  <c:v>0.00960905700351233</c:v>
                </c:pt>
                <c:pt idx="10">
                  <c:v>0.00950088114365366</c:v>
                </c:pt>
                <c:pt idx="11">
                  <c:v>0.0094145365688747</c:v>
                </c:pt>
                <c:pt idx="12">
                  <c:v>0.00934568351275145</c:v>
                </c:pt>
                <c:pt idx="13">
                  <c:v>0.00929082112570701</c:v>
                </c:pt>
                <c:pt idx="14">
                  <c:v>0.00924713385005438</c:v>
                </c:pt>
                <c:pt idx="15">
                  <c:v>0.00921236283634164</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endParaRPr lang="en-US"/>
          </a:p>
        </c:rich>
      </c:tx>
      <c:layout>
        <c:manualLayout>
          <c:xMode val="edge"/>
          <c:yMode val="edge"/>
          <c:x val="0.147787655575311"/>
          <c:y val="0.0265339966832504"/>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1.62717144461326</c:v>
                </c:pt>
                <c:pt idx="2">
                  <c:v>1.34118846062339</c:v>
                </c:pt>
                <c:pt idx="3">
                  <c:v>1.10323824610635</c:v>
                </c:pt>
                <c:pt idx="4">
                  <c:v>0.90967448957413</c:v>
                </c:pt>
                <c:pt idx="5">
                  <c:v>0.746798044502095</c:v>
                </c:pt>
                <c:pt idx="6">
                  <c:v>0.610691406770925</c:v>
                </c:pt>
                <c:pt idx="7">
                  <c:v>0.497690941987905</c:v>
                </c:pt>
                <c:pt idx="8">
                  <c:v>0.412040617633147</c:v>
                </c:pt>
                <c:pt idx="9">
                  <c:v>0.341191089251158</c:v>
                </c:pt>
                <c:pt idx="10">
                  <c:v>0.281678859607959</c:v>
                </c:pt>
                <c:pt idx="11">
                  <c:v>0.231918740898951</c:v>
                </c:pt>
                <c:pt idx="12">
                  <c:v>0.190518119967098</c:v>
                </c:pt>
                <c:pt idx="13">
                  <c:v>0.156248935657166</c:v>
                </c:pt>
                <c:pt idx="14">
                  <c:v>0.128027672818376</c:v>
                </c:pt>
                <c:pt idx="15">
                  <c:v>0.104901401802382</c:v>
                </c:pt>
                <c:pt idx="16">
                  <c:v>0.0860374409926479</c:v>
                </c:pt>
                <c:pt idx="17">
                  <c:v>0.0707145324635672</c:v>
                </c:pt>
                <c:pt idx="18">
                  <c:v>0.0583141398936116</c:v>
                </c:pt>
                <c:pt idx="19">
                  <c:v>0.0483112428000143</c:v>
                </c:pt>
                <c:pt idx="20">
                  <c:v>0.0402645847724759</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13.2904846827494</c:v>
                </c:pt>
                <c:pt idx="1">
                  <c:v>11.038250590104</c:v>
                </c:pt>
                <c:pt idx="2">
                  <c:v>9.07341011848089</c:v>
                </c:pt>
                <c:pt idx="3">
                  <c:v>7.21365535424781</c:v>
                </c:pt>
                <c:pt idx="4">
                  <c:v>6.05549367878627</c:v>
                </c:pt>
                <c:pt idx="5">
                  <c:v>4.6361005481198</c:v>
                </c:pt>
                <c:pt idx="6">
                  <c:v>3.65566681523449</c:v>
                </c:pt>
                <c:pt idx="7">
                  <c:v>2.86994900046532</c:v>
                </c:pt>
                <c:pt idx="8">
                  <c:v>2.31635594633831</c:v>
                </c:pt>
                <c:pt idx="9">
                  <c:v>1.73024645044786</c:v>
                </c:pt>
                <c:pt idx="10">
                  <c:v>1.45053993340549</c:v>
                </c:pt>
                <c:pt idx="11">
                  <c:v>1.22053275961771</c:v>
                </c:pt>
                <c:pt idx="12">
                  <c:v>1.04548776811668</c:v>
                </c:pt>
                <c:pt idx="13">
                  <c:v>0.898379112191539</c:v>
                </c:pt>
                <c:pt idx="14">
                  <c:v>0.687384055102769</c:v>
                </c:pt>
                <c:pt idx="15">
                  <c:v>0.580216976584458</c:v>
                </c:pt>
                <c:pt idx="16">
                  <c:v>0.470376487193613</c:v>
                </c:pt>
                <c:pt idx="17">
                  <c:v>0.444951385921055</c:v>
                </c:pt>
                <c:pt idx="18">
                  <c:v>0.42014029444617</c:v>
                </c:pt>
                <c:pt idx="19">
                  <c:v>0.369700053040933</c:v>
                </c:pt>
                <c:pt idx="20">
                  <c:v>0.330226934071576</c:v>
                </c:pt>
              </c:numCache>
            </c:numRef>
          </c:val>
          <c:smooth val="0"/>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42.9243575516121</c:v>
                </c:pt>
                <c:pt idx="1">
                  <c:v>39.3862669696686</c:v>
                </c:pt>
                <c:pt idx="2">
                  <c:v>35.9156282712495</c:v>
                </c:pt>
                <c:pt idx="3">
                  <c:v>32.5354031139981</c:v>
                </c:pt>
                <c:pt idx="4">
                  <c:v>29.2692255050538</c:v>
                </c:pt>
                <c:pt idx="5">
                  <c:v>26.1409995140574</c:v>
                </c:pt>
                <c:pt idx="6">
                  <c:v>23.1741720167043</c:v>
                </c:pt>
                <c:pt idx="7">
                  <c:v>20.3906947931525</c:v>
                </c:pt>
                <c:pt idx="8">
                  <c:v>17.8146117239244</c:v>
                </c:pt>
                <c:pt idx="9">
                  <c:v>15.5595612221335</c:v>
                </c:pt>
                <c:pt idx="10">
                  <c:v>13.5186886643052</c:v>
                </c:pt>
                <c:pt idx="11">
                  <c:v>11.6769546486714</c:v>
                </c:pt>
                <c:pt idx="12">
                  <c:v>10.0368223734209</c:v>
                </c:pt>
                <c:pt idx="13">
                  <c:v>8.5953934507688</c:v>
                </c:pt>
                <c:pt idx="14">
                  <c:v>7.34474354629196</c:v>
                </c:pt>
                <c:pt idx="15">
                  <c:v>6.27272803820191</c:v>
                </c:pt>
                <c:pt idx="16">
                  <c:v>5.36410062559456</c:v>
                </c:pt>
                <c:pt idx="17">
                  <c:v>4.60174838978861</c:v>
                </c:pt>
                <c:pt idx="18">
                  <c:v>3.96786221231259</c:v>
                </c:pt>
                <c:pt idx="19">
                  <c:v>3.44491470543603</c:v>
                </c:pt>
                <c:pt idx="20">
                  <c:v>3.01638357034008</c:v>
                </c:pt>
              </c:numCache>
            </c:numRef>
          </c:val>
          <c:smooth val="0"/>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c:v>
                </c:pt>
                <c:pt idx="2">
                  <c:v>12.5285380113337</c:v>
                </c:pt>
                <c:pt idx="3">
                  <c:v>10.1477500413607</c:v>
                </c:pt>
                <c:pt idx="4">
                  <c:v>8.43014407638577</c:v>
                </c:pt>
                <c:pt idx="5">
                  <c:v>6.71253811141082</c:v>
                </c:pt>
                <c:pt idx="6">
                  <c:v>5.37353910270308</c:v>
                </c:pt>
                <c:pt idx="7">
                  <c:v>4.03454009399535</c:v>
                </c:pt>
                <c:pt idx="8">
                  <c:v>3.28717134894307</c:v>
                </c:pt>
                <c:pt idx="9">
                  <c:v>2.53980260389078</c:v>
                </c:pt>
                <c:pt idx="10">
                  <c:v>2.06981245542808</c:v>
                </c:pt>
                <c:pt idx="11">
                  <c:v>1.59982230696537</c:v>
                </c:pt>
                <c:pt idx="12">
                  <c:v>1.28442027446697</c:v>
                </c:pt>
                <c:pt idx="13">
                  <c:v>0.969018241968578</c:v>
                </c:pt>
                <c:pt idx="14">
                  <c:v>0.752907345122267</c:v>
                </c:pt>
                <c:pt idx="15">
                  <c:v>0.536796448275956</c:v>
                </c:pt>
                <c:pt idx="16">
                  <c:v>0.45204490955465</c:v>
                </c:pt>
                <c:pt idx="17">
                  <c:v>0.367293370833344</c:v>
                </c:pt>
                <c:pt idx="18">
                  <c:v>0.300884196130136</c:v>
                </c:pt>
                <c:pt idx="19">
                  <c:v>0.234475021426928</c:v>
                </c:pt>
                <c:pt idx="20">
                  <c:v>0.192460818932605</c:v>
                </c:pt>
              </c:numCache>
            </c:numRef>
          </c:val>
          <c:smooth val="0"/>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c:v>
                </c:pt>
                <c:pt idx="3">
                  <c:v>8.8921</c:v>
                </c:pt>
                <c:pt idx="4">
                  <c:v>6.5516</c:v>
                </c:pt>
                <c:pt idx="5">
                  <c:v>4.6799</c:v>
                </c:pt>
                <c:pt idx="6">
                  <c:v>3.6495</c:v>
                </c:pt>
                <c:pt idx="7">
                  <c:v>2.0489</c:v>
                </c:pt>
                <c:pt idx="8">
                  <c:v>1.9196</c:v>
                </c:pt>
                <c:pt idx="9">
                  <c:v>1.5249</c:v>
                </c:pt>
                <c:pt idx="10">
                  <c:v>1.3613</c:v>
                </c:pt>
              </c:numCache>
            </c:numRef>
          </c:val>
          <c:smooth val="0"/>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19.91885</c:v>
                </c:pt>
                <c:pt idx="1">
                  <c:v>17.278513</c:v>
                </c:pt>
                <c:pt idx="2">
                  <c:v>14.948866</c:v>
                </c:pt>
                <c:pt idx="3">
                  <c:v>12.629895</c:v>
                </c:pt>
                <c:pt idx="4">
                  <c:v>10.985971</c:v>
                </c:pt>
                <c:pt idx="5">
                  <c:v>9.60659</c:v>
                </c:pt>
                <c:pt idx="6">
                  <c:v>8.524953</c:v>
                </c:pt>
                <c:pt idx="7">
                  <c:v>7.379921</c:v>
                </c:pt>
                <c:pt idx="8">
                  <c:v>6.498022</c:v>
                </c:pt>
                <c:pt idx="9">
                  <c:v>5.973758</c:v>
                </c:pt>
                <c:pt idx="10">
                  <c:v>5.319487</c:v>
                </c:pt>
                <c:pt idx="11">
                  <c:v>4.462493</c:v>
                </c:pt>
                <c:pt idx="12">
                  <c:v>3.52901</c:v>
                </c:pt>
                <c:pt idx="13">
                  <c:v>2.771835</c:v>
                </c:pt>
                <c:pt idx="14">
                  <c:v>2.05577</c:v>
                </c:pt>
                <c:pt idx="15">
                  <c:v>1.545181</c:v>
                </c:pt>
                <c:pt idx="16">
                  <c:v>1.241019</c:v>
                </c:pt>
                <c:pt idx="17">
                  <c:v>1.138084</c:v>
                </c:pt>
                <c:pt idx="18">
                  <c:v>1.061499</c:v>
                </c:pt>
                <c:pt idx="19">
                  <c:v>0.999763</c:v>
                </c:pt>
                <c:pt idx="20">
                  <c:v>0.950131</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c:v>
                </c:pt>
                <c:pt idx="2">
                  <c:v>10.3943078664333</c:v>
                </c:pt>
                <c:pt idx="3">
                  <c:v>8.83568985795774</c:v>
                </c:pt>
                <c:pt idx="4">
                  <c:v>7.46335731836736</c:v>
                </c:pt>
                <c:pt idx="5">
                  <c:v>6.26715843150976</c:v>
                </c:pt>
                <c:pt idx="6">
                  <c:v>5.23469081676901</c:v>
                </c:pt>
                <c:pt idx="7">
                  <c:v>4.35195375702955</c:v>
                </c:pt>
                <c:pt idx="8">
                  <c:v>3.6040118551866</c:v>
                </c:pt>
                <c:pt idx="9">
                  <c:v>2.9756231311733</c:v>
                </c:pt>
                <c:pt idx="10">
                  <c:v>2.45179227573636</c:v>
                </c:pt>
                <c:pt idx="11">
                  <c:v>2.01822117157083</c:v>
                </c:pt>
                <c:pt idx="12">
                  <c:v>1.66164227374677</c:v>
                </c:pt>
                <c:pt idx="13">
                  <c:v>1.37003387720486</c:v>
                </c:pt>
                <c:pt idx="14">
                  <c:v>1.13272759953406</c:v>
                </c:pt>
                <c:pt idx="15">
                  <c:v>0.940426130558703</c:v>
                </c:pt>
                <c:pt idx="16">
                  <c:v>0.785152982096027</c:v>
                </c:pt>
                <c:pt idx="17">
                  <c:v>0.660156065100204</c:v>
                </c:pt>
                <c:pt idx="18">
                  <c:v>0.559784455746493</c:v>
                </c:pt>
                <c:pt idx="19">
                  <c:v>0.479353871583699</c:v>
                </c:pt>
                <c:pt idx="20">
                  <c:v>0.415012181792507</c:v>
                </c:pt>
              </c:numCache>
            </c:numRef>
          </c:val>
          <c:smooth val="0"/>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c:v>
                </c:pt>
                <c:pt idx="1">
                  <c:v>4.6337655669806</c:v>
                </c:pt>
                <c:pt idx="2">
                  <c:v>3.82728544071861</c:v>
                </c:pt>
                <c:pt idx="3">
                  <c:v>3.14824298975569</c:v>
                </c:pt>
                <c:pt idx="4">
                  <c:v>2.58451930205988</c:v>
                </c:pt>
                <c:pt idx="5">
                  <c:v>2.11708937503328</c:v>
                </c:pt>
                <c:pt idx="6">
                  <c:v>1.73001320989492</c:v>
                </c:pt>
                <c:pt idx="7">
                  <c:v>1.40736082696376</c:v>
                </c:pt>
                <c:pt idx="8">
                  <c:v>1.14390787423748</c:v>
                </c:pt>
                <c:pt idx="9">
                  <c:v>0.928303570997291</c:v>
                </c:pt>
                <c:pt idx="10">
                  <c:v>0.752576546925565</c:v>
                </c:pt>
                <c:pt idx="11">
                  <c:v>0.610705390489197</c:v>
                </c:pt>
                <c:pt idx="12">
                  <c:v>0.496317256633771</c:v>
                </c:pt>
                <c:pt idx="13">
                  <c:v>0.404385722214773</c:v>
                </c:pt>
                <c:pt idx="14">
                  <c:v>0.330762295492837</c:v>
                </c:pt>
                <c:pt idx="15">
                  <c:v>0.271885159195051</c:v>
                </c:pt>
                <c:pt idx="16">
                  <c:v>0.225277277512115</c:v>
                </c:pt>
                <c:pt idx="17">
                  <c:v>0.188419316072419</c:v>
                </c:pt>
                <c:pt idx="18">
                  <c:v>0.159266316729856</c:v>
                </c:pt>
                <c:pt idx="19">
                  <c:v>0.136041178374535</c:v>
                </c:pt>
                <c:pt idx="20">
                  <c:v>0.117596800945186</c:v>
                </c:pt>
              </c:numCache>
            </c:numRef>
          </c:val>
          <c:smooth val="0"/>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12.0900481143171</c:v>
                </c:pt>
                <c:pt idx="2">
                  <c:v>10.6002813762919</c:v>
                </c:pt>
                <c:pt idx="3">
                  <c:v>9.33368862570307</c:v>
                </c:pt>
                <c:pt idx="4">
                  <c:v>8.15796467153399</c:v>
                </c:pt>
                <c:pt idx="5">
                  <c:v>7.0401047900999</c:v>
                </c:pt>
                <c:pt idx="6">
                  <c:v>5.98665113544737</c:v>
                </c:pt>
                <c:pt idx="7">
                  <c:v>5.02882886804961</c:v>
                </c:pt>
                <c:pt idx="8">
                  <c:v>4.3279709862177</c:v>
                </c:pt>
                <c:pt idx="9">
                  <c:v>3.75247291180764</c:v>
                </c:pt>
                <c:pt idx="10">
                  <c:v>3.23372396679131</c:v>
                </c:pt>
                <c:pt idx="11">
                  <c:v>2.77187308223944</c:v>
                </c:pt>
                <c:pt idx="12">
                  <c:v>2.36579180862107</c:v>
                </c:pt>
                <c:pt idx="13">
                  <c:v>2.01311702575376</c:v>
                </c:pt>
                <c:pt idx="14">
                  <c:v>1.71042202709576</c:v>
                </c:pt>
                <c:pt idx="15">
                  <c:v>1.45347927789178</c:v>
                </c:pt>
                <c:pt idx="16">
                  <c:v>1.23756581553749</c:v>
                </c:pt>
                <c:pt idx="17">
                  <c:v>1.05776343183092</c:v>
                </c:pt>
                <c:pt idx="18">
                  <c:v>0.909217374317402</c:v>
                </c:pt>
                <c:pt idx="19">
                  <c:v>0.787333491014458</c:v>
                </c:pt>
                <c:pt idx="20">
                  <c:v>0.687908990332696</c:v>
                </c:pt>
              </c:numCache>
            </c:numRef>
          </c:val>
          <c:smooth val="0"/>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c:v>
                </c:pt>
                <c:pt idx="2">
                  <c:v>4.36917910006563</c:v>
                </c:pt>
                <c:pt idx="3">
                  <c:v>3.61378266460775</c:v>
                </c:pt>
                <c:pt idx="4">
                  <c:v>3.04952753334896</c:v>
                </c:pt>
                <c:pt idx="5">
                  <c:v>2.48527240209017</c:v>
                </c:pt>
                <c:pt idx="6">
                  <c:v>2.07526731074941</c:v>
                </c:pt>
                <c:pt idx="7">
                  <c:v>1.66526221940866</c:v>
                </c:pt>
                <c:pt idx="8">
                  <c:v>1.37897089258678</c:v>
                </c:pt>
                <c:pt idx="9">
                  <c:v>1.09267956576491</c:v>
                </c:pt>
                <c:pt idx="10">
                  <c:v>0.897876695971284</c:v>
                </c:pt>
                <c:pt idx="11">
                  <c:v>0.703073826177658</c:v>
                </c:pt>
                <c:pt idx="12">
                  <c:v>0.577015541584869</c:v>
                </c:pt>
                <c:pt idx="13">
                  <c:v>0.450957256992079</c:v>
                </c:pt>
                <c:pt idx="14">
                  <c:v>0.369233982067735</c:v>
                </c:pt>
                <c:pt idx="15">
                  <c:v>0.28751070714339</c:v>
                </c:pt>
                <c:pt idx="16">
                  <c:v>0.234897280669982</c:v>
                </c:pt>
                <c:pt idx="17">
                  <c:v>0.182283854196574</c:v>
                </c:pt>
                <c:pt idx="18">
                  <c:v>0.14883393187633</c:v>
                </c:pt>
                <c:pt idx="19">
                  <c:v>0.115384009556085</c:v>
                </c:pt>
                <c:pt idx="20">
                  <c:v>0.0942012825839111</c:v>
                </c:pt>
              </c:numCache>
            </c:numRef>
          </c:val>
          <c:smooth val="0"/>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7.0942</c:v>
                </c:pt>
                <c:pt idx="1">
                  <c:v>5.7809</c:v>
                </c:pt>
                <c:pt idx="2">
                  <c:v>4.5285</c:v>
                </c:pt>
                <c:pt idx="3">
                  <c:v>3.286</c:v>
                </c:pt>
                <c:pt idx="4">
                  <c:v>2.9018</c:v>
                </c:pt>
                <c:pt idx="5">
                  <c:v>2.6126</c:v>
                </c:pt>
                <c:pt idx="6">
                  <c:v>2.3524</c:v>
                </c:pt>
                <c:pt idx="7">
                  <c:v>1.4855</c:v>
                </c:pt>
                <c:pt idx="8">
                  <c:v>1.4767</c:v>
                </c:pt>
                <c:pt idx="9">
                  <c:v>1.2708</c:v>
                </c:pt>
                <c:pt idx="10">
                  <c:v>1.0258</c:v>
                </c:pt>
              </c:numCache>
            </c:numRef>
          </c:val>
          <c:smooth val="0"/>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c:v>
                </c:pt>
                <c:pt idx="1">
                  <c:v>3.248077</c:v>
                </c:pt>
                <c:pt idx="2">
                  <c:v>2.823415</c:v>
                </c:pt>
                <c:pt idx="3">
                  <c:v>2.447241</c:v>
                </c:pt>
                <c:pt idx="4">
                  <c:v>2.117082</c:v>
                </c:pt>
                <c:pt idx="5">
                  <c:v>1.828532</c:v>
                </c:pt>
                <c:pt idx="6">
                  <c:v>1.575435</c:v>
                </c:pt>
                <c:pt idx="7">
                  <c:v>1.355063</c:v>
                </c:pt>
                <c:pt idx="8">
                  <c:v>1.164681</c:v>
                </c:pt>
                <c:pt idx="9">
                  <c:v>0.999317</c:v>
                </c:pt>
                <c:pt idx="10">
                  <c:v>0.856807</c:v>
                </c:pt>
                <c:pt idx="11">
                  <c:v>0.735416</c:v>
                </c:pt>
                <c:pt idx="12">
                  <c:v>0.631855</c:v>
                </c:pt>
                <c:pt idx="13">
                  <c:v>0.543879</c:v>
                </c:pt>
                <c:pt idx="14">
                  <c:v>0.468398</c:v>
                </c:pt>
                <c:pt idx="15">
                  <c:v>0.405533</c:v>
                </c:pt>
                <c:pt idx="16">
                  <c:v>0.353193</c:v>
                </c:pt>
                <c:pt idx="17">
                  <c:v>0.30841</c:v>
                </c:pt>
                <c:pt idx="18">
                  <c:v>0.271828</c:v>
                </c:pt>
                <c:pt idx="19">
                  <c:v>0.241429</c:v>
                </c:pt>
                <c:pt idx="20">
                  <c:v>0.216265</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c:v>
                </c:pt>
                <c:pt idx="1">
                  <c:v>38.0867037243481</c:v>
                </c:pt>
                <c:pt idx="2">
                  <c:v>33.5185719903865</c:v>
                </c:pt>
                <c:pt idx="3">
                  <c:v>29.1491893050385</c:v>
                </c:pt>
                <c:pt idx="4">
                  <c:v>25.051884368848</c:v>
                </c:pt>
                <c:pt idx="5">
                  <c:v>21.3537643348915</c:v>
                </c:pt>
                <c:pt idx="6">
                  <c:v>17.9080118451788</c:v>
                </c:pt>
                <c:pt idx="7">
                  <c:v>14.8680074862324</c:v>
                </c:pt>
                <c:pt idx="8">
                  <c:v>12.1726373838673</c:v>
                </c:pt>
                <c:pt idx="9">
                  <c:v>9.84381121450836</c:v>
                </c:pt>
                <c:pt idx="10">
                  <c:v>7.8535534657592</c:v>
                </c:pt>
                <c:pt idx="11">
                  <c:v>6.2427570812442</c:v>
                </c:pt>
                <c:pt idx="12">
                  <c:v>4.89184940078078</c:v>
                </c:pt>
                <c:pt idx="13">
                  <c:v>3.80846440751651</c:v>
                </c:pt>
                <c:pt idx="14">
                  <c:v>2.93644962792438</c:v>
                </c:pt>
                <c:pt idx="15">
                  <c:v>2.30493344790811</c:v>
                </c:pt>
                <c:pt idx="16">
                  <c:v>1.84169979859498</c:v>
                </c:pt>
                <c:pt idx="17">
                  <c:v>1.47764582069121</c:v>
                </c:pt>
                <c:pt idx="18">
                  <c:v>1.20066126497953</c:v>
                </c:pt>
                <c:pt idx="19">
                  <c:v>0.986354913607879</c:v>
                </c:pt>
                <c:pt idx="20">
                  <c:v>0.811440669146668</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c:v>
                </c:pt>
                <c:pt idx="1">
                  <c:v>19.0982776088063</c:v>
                </c:pt>
                <c:pt idx="2">
                  <c:v>16.3959682680128</c:v>
                </c:pt>
                <c:pt idx="3">
                  <c:v>13.9757929774101</c:v>
                </c:pt>
                <c:pt idx="4">
                  <c:v>11.8327488604544</c:v>
                </c:pt>
                <c:pt idx="5">
                  <c:v>9.95592199413913</c:v>
                </c:pt>
                <c:pt idx="6">
                  <c:v>8.32963322660387</c:v>
                </c:pt>
                <c:pt idx="7">
                  <c:v>6.93467652345248</c:v>
                </c:pt>
                <c:pt idx="8">
                  <c:v>5.74956121004829</c:v>
                </c:pt>
                <c:pt idx="9">
                  <c:v>4.75167791059377</c:v>
                </c:pt>
                <c:pt idx="10">
                  <c:v>3.91832285572734</c:v>
                </c:pt>
                <c:pt idx="11">
                  <c:v>3.22753536591529</c:v>
                </c:pt>
                <c:pt idx="12">
                  <c:v>2.65872630049409</c:v>
                </c:pt>
                <c:pt idx="13">
                  <c:v>2.19309776372791</c:v>
                </c:pt>
                <c:pt idx="14">
                  <c:v>1.8138730761212</c:v>
                </c:pt>
                <c:pt idx="15">
                  <c:v>1.50636867637077</c:v>
                </c:pt>
                <c:pt idx="16">
                  <c:v>1.25794552196244</c:v>
                </c:pt>
                <c:pt idx="17">
                  <c:v>1.05787750024694</c:v>
                </c:pt>
                <c:pt idx="18">
                  <c:v>0.897170074452447</c:v>
                </c:pt>
                <c:pt idx="19">
                  <c:v>0.768355843780566</c:v>
                </c:pt>
                <c:pt idx="20">
                  <c:v>0.665286583431124</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25.3754793171874</c:v>
                </c:pt>
                <c:pt idx="1">
                  <c:v>22.2706232342311</c:v>
                </c:pt>
                <c:pt idx="2">
                  <c:v>19.1883374877386</c:v>
                </c:pt>
                <c:pt idx="3">
                  <c:v>16.3843579038981</c:v>
                </c:pt>
                <c:pt idx="4">
                  <c:v>13.7257669546386</c:v>
                </c:pt>
                <c:pt idx="5">
                  <c:v>11.2587485861784</c:v>
                </c:pt>
                <c:pt idx="6">
                  <c:v>9.10165297723781</c:v>
                </c:pt>
                <c:pt idx="7">
                  <c:v>7.30517404016455</c:v>
                </c:pt>
                <c:pt idx="8">
                  <c:v>5.82712863238059</c:v>
                </c:pt>
                <c:pt idx="9">
                  <c:v>4.52376904763101</c:v>
                </c:pt>
                <c:pt idx="10">
                  <c:v>3.45170187774267</c:v>
                </c:pt>
                <c:pt idx="11">
                  <c:v>2.73506490126412</c:v>
                </c:pt>
                <c:pt idx="12">
                  <c:v>2.17913278212342</c:v>
                </c:pt>
                <c:pt idx="13">
                  <c:v>1.72827001681467</c:v>
                </c:pt>
                <c:pt idx="14">
                  <c:v>1.40147805652534</c:v>
                </c:pt>
                <c:pt idx="15">
                  <c:v>1.15200648283323</c:v>
                </c:pt>
                <c:pt idx="16">
                  <c:v>0.929092172136337</c:v>
                </c:pt>
                <c:pt idx="17">
                  <c:v>0.77803381240168</c:v>
                </c:pt>
                <c:pt idx="18">
                  <c:v>0.649007093719378</c:v>
                </c:pt>
                <c:pt idx="19">
                  <c:v>0.544081199020041</c:v>
                </c:pt>
                <c:pt idx="20">
                  <c:v>0.478057573859381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c:v>
                </c:pt>
                <c:pt idx="4">
                  <c:v>7.75390507395983</c:v>
                </c:pt>
                <c:pt idx="5">
                  <c:v>6.53077716352678</c:v>
                </c:pt>
                <c:pt idx="6">
                  <c:v>5.4705327677867</c:v>
                </c:pt>
                <c:pt idx="7">
                  <c:v>4.56034413285191</c:v>
                </c:pt>
                <c:pt idx="8">
                  <c:v>3.78615593004118</c:v>
                </c:pt>
                <c:pt idx="9">
                  <c:v>3.13333875513935</c:v>
                </c:pt>
                <c:pt idx="10">
                  <c:v>2.58727895458529</c:v>
                </c:pt>
                <c:pt idx="11">
                  <c:v>2.1338696491047</c:v>
                </c:pt>
                <c:pt idx="12">
                  <c:v>1.75988431695359</c:v>
                </c:pt>
                <c:pt idx="13">
                  <c:v>1.45322976014076</c:v>
                </c:pt>
                <c:pt idx="14">
                  <c:v>1.20308755892656</c:v>
                </c:pt>
                <c:pt idx="15">
                  <c:v>0.999961221585699</c:v>
                </c:pt>
                <c:pt idx="16">
                  <c:v>0.835650160297474</c:v>
                </c:pt>
                <c:pt idx="17">
                  <c:v>0.703172056014223</c:v>
                </c:pt>
                <c:pt idx="18">
                  <c:v>0.596653137238568</c:v>
                </c:pt>
                <c:pt idx="19">
                  <c:v>0.511202457431847</c:v>
                </c:pt>
                <c:pt idx="20">
                  <c:v>0.442782327188063</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endParaRPr lang="en-US"/>
          </a:p>
        </c:rich>
      </c:tx>
      <c:layout>
        <c:manualLayout>
          <c:xMode val="edge"/>
          <c:yMode val="edge"/>
          <c:x val="0.205135364055589"/>
          <c:y val="0.0199004975124378"/>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c:v>
                </c:pt>
                <c:pt idx="1">
                  <c:v>37.8686493067103</c:v>
                </c:pt>
                <c:pt idx="2">
                  <c:v>33.3879103939044</c:v>
                </c:pt>
                <c:pt idx="3">
                  <c:v>29.1306085772397</c:v>
                </c:pt>
                <c:pt idx="4">
                  <c:v>25.1939680974005</c:v>
                </c:pt>
                <c:pt idx="5">
                  <c:v>21.5184067295203</c:v>
                </c:pt>
                <c:pt idx="6">
                  <c:v>18.140043073217</c:v>
                </c:pt>
                <c:pt idx="7">
                  <c:v>15.1222794423566</c:v>
                </c:pt>
                <c:pt idx="8">
                  <c:v>12.4624615772533</c:v>
                </c:pt>
                <c:pt idx="9">
                  <c:v>10.1816103687704</c:v>
                </c:pt>
                <c:pt idx="10">
                  <c:v>8.21023804989278</c:v>
                </c:pt>
                <c:pt idx="11">
                  <c:v>6.54713078154882</c:v>
                </c:pt>
                <c:pt idx="12">
                  <c:v>5.13274991044443</c:v>
                </c:pt>
                <c:pt idx="13">
                  <c:v>3.93099181406814</c:v>
                </c:pt>
                <c:pt idx="14">
                  <c:v>3.08120980361022</c:v>
                </c:pt>
                <c:pt idx="15">
                  <c:v>2.39595920414694</c:v>
                </c:pt>
                <c:pt idx="16">
                  <c:v>1.87913535640243</c:v>
                </c:pt>
                <c:pt idx="17">
                  <c:v>1.49413611021396</c:v>
                </c:pt>
                <c:pt idx="18">
                  <c:v>1.22281675024252</c:v>
                </c:pt>
                <c:pt idx="19">
                  <c:v>1.02867496347739</c:v>
                </c:pt>
                <c:pt idx="20">
                  <c:v>0.887225197902242</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endParaRPr lang="en-US"/>
          </a:p>
        </c:rich>
      </c:tx>
      <c:layout>
        <c:manualLayout>
          <c:xMode val="edge"/>
          <c:yMode val="edge"/>
          <c:x val="0.149112896835608"/>
          <c:y val="0.0199005529714191"/>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22.3826815631355</c:v>
                </c:pt>
                <c:pt idx="1">
                  <c:v>19.4150174639996</c:v>
                </c:pt>
                <c:pt idx="2">
                  <c:v>16.7158261433671</c:v>
                </c:pt>
                <c:pt idx="3">
                  <c:v>14.2889826370166</c:v>
                </c:pt>
                <c:pt idx="4">
                  <c:v>12.1316674142929</c:v>
                </c:pt>
                <c:pt idx="5">
                  <c:v>10.2351157232809</c:v>
                </c:pt>
                <c:pt idx="6">
                  <c:v>8.58561100217229</c:v>
                </c:pt>
                <c:pt idx="7">
                  <c:v>7.16563357556141</c:v>
                </c:pt>
                <c:pt idx="8">
                  <c:v>5.95506544609724</c:v>
                </c:pt>
                <c:pt idx="9">
                  <c:v>4.93235556366273</c:v>
                </c:pt>
                <c:pt idx="10">
                  <c:v>4.07556590688453</c:v>
                </c:pt>
                <c:pt idx="11">
                  <c:v>3.36324286241581</c:v>
                </c:pt>
                <c:pt idx="12">
                  <c:v>2.77508544567092</c:v>
                </c:pt>
                <c:pt idx="13">
                  <c:v>2.29240702201139</c:v>
                </c:pt>
                <c:pt idx="14">
                  <c:v>1.89840699396183</c:v>
                </c:pt>
                <c:pt idx="15">
                  <c:v>1.57828187535451</c:v>
                </c:pt>
                <c:pt idx="16">
                  <c:v>1.31921133159342</c:v>
                </c:pt>
                <c:pt idx="17">
                  <c:v>1.11025526683984</c:v>
                </c:pt>
                <c:pt idx="18">
                  <c:v>0.942194554613851</c:v>
                </c:pt>
                <c:pt idx="19">
                  <c:v>0.807342273743106</c:v>
                </c:pt>
                <c:pt idx="20">
                  <c:v>0.699345808546503</c:v>
                </c:pt>
              </c:numCache>
            </c:numRef>
          </c:val>
          <c:smooth val="0"/>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64017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c:v>
                </c:pt>
                <c:pt idx="2">
                  <c:v>2.263493014942</c:v>
                </c:pt>
                <c:pt idx="3">
                  <c:v>2.20234097696734</c:v>
                </c:pt>
                <c:pt idx="4">
                  <c:v>2.15366675690037</c:v>
                </c:pt>
                <c:pt idx="5">
                  <c:v>2.11494048911586</c:v>
                </c:pt>
                <c:pt idx="6">
                  <c:v>2.08413928270308</c:v>
                </c:pt>
                <c:pt idx="7">
                  <c:v>2.05964782149338</c:v>
                </c:pt>
                <c:pt idx="8">
                  <c:v>2.04017763784321</c:v>
                </c:pt>
                <c:pt idx="9">
                  <c:v>2.02470185918008</c:v>
                </c:pt>
                <c:pt idx="10">
                  <c:v>2.01240265528859</c:v>
                </c:pt>
                <c:pt idx="11">
                  <c:v>2.00262903641979</c:v>
                </c:pt>
                <c:pt idx="12">
                  <c:v>1.9948630405456</c:v>
                </c:pt>
                <c:pt idx="13">
                  <c:v>1.98869269070929</c:v>
                </c:pt>
                <c:pt idx="14">
                  <c:v>1.9837903976</c:v>
                </c:pt>
              </c:numCache>
            </c:numRef>
          </c:val>
          <c:smooth val="0"/>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2.6656410997499</c:v>
                </c:pt>
                <c:pt idx="1">
                  <c:v>2.56064864459552</c:v>
                </c:pt>
                <c:pt idx="2">
                  <c:v>2.47695656493229</c:v>
                </c:pt>
                <c:pt idx="3">
                  <c:v>2.41029118750861</c:v>
                </c:pt>
                <c:pt idx="4">
                  <c:v>2.35721881150495</c:v>
                </c:pt>
                <c:pt idx="5">
                  <c:v>2.31498706440564</c:v>
                </c:pt>
                <c:pt idx="6">
                  <c:v>2.28139381496479</c:v>
                </c:pt>
                <c:pt idx="7">
                  <c:v>2.25467977968089</c:v>
                </c:pt>
                <c:pt idx="8">
                  <c:v>2.23344112107403</c:v>
                </c:pt>
                <c:pt idx="9">
                  <c:v>2.21655868203438</c:v>
                </c:pt>
                <c:pt idx="10">
                  <c:v>2.2031409203162</c:v>
                </c:pt>
                <c:pt idx="11">
                  <c:v>2.19247803625112</c:v>
                </c:pt>
                <c:pt idx="12">
                  <c:v>2.18400518987762</c:v>
                </c:pt>
                <c:pt idx="13">
                  <c:v>2.17727306430979</c:v>
                </c:pt>
                <c:pt idx="14">
                  <c:v>2.17192434466154</c:v>
                </c:pt>
              </c:numCache>
            </c:numRef>
          </c:val>
          <c:smooth val="0"/>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c:v>
                </c:pt>
                <c:pt idx="1">
                  <c:v>3.69106140201716</c:v>
                </c:pt>
                <c:pt idx="2">
                  <c:v>3.57282067316153</c:v>
                </c:pt>
                <c:pt idx="3">
                  <c:v>3.47852528015789</c:v>
                </c:pt>
                <c:pt idx="4">
                  <c:v>3.40338652184222</c:v>
                </c:pt>
                <c:pt idx="5">
                  <c:v>3.34355115149486</c:v>
                </c:pt>
                <c:pt idx="6">
                  <c:v>3.29592682890032</c:v>
                </c:pt>
                <c:pt idx="7">
                  <c:v>3.25803708140703</c:v>
                </c:pt>
                <c:pt idx="8">
                  <c:v>3.22790196693711</c:v>
                </c:pt>
                <c:pt idx="9">
                  <c:v>3.20394062712549</c:v>
                </c:pt>
                <c:pt idx="10">
                  <c:v>3.18489218281621</c:v>
                </c:pt>
                <c:pt idx="11">
                  <c:v>3.16975181394922</c:v>
                </c:pt>
                <c:pt idx="12">
                  <c:v>3.15771929486822</c:v>
                </c:pt>
                <c:pt idx="13">
                  <c:v>3.14815767512623</c:v>
                </c:pt>
                <c:pt idx="14">
                  <c:v>3.14056017963842</c:v>
                </c:pt>
                <c:pt idx="15">
                  <c:v>3.13452373977245</c:v>
                </c:pt>
                <c:pt idx="16">
                  <c:v>3.12972785639816</c:v>
                </c:pt>
                <c:pt idx="17">
                  <c:v>3.12591773936714</c:v>
                </c:pt>
                <c:pt idx="18">
                  <c:v>3.12289086992089</c:v>
                </c:pt>
                <c:pt idx="19">
                  <c:v>3.12048629850939</c:v>
                </c:pt>
                <c:pt idx="20">
                  <c:v>3.11857612584959</c:v>
                </c:pt>
              </c:numCache>
            </c:numRef>
          </c:val>
          <c:smooth val="0"/>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0.0991190854101876</c:v>
                </c:pt>
                <c:pt idx="4">
                  <c:v>0.076730075219611</c:v>
                </c:pt>
                <c:pt idx="5">
                  <c:v>0.0625844318269897</c:v>
                </c:pt>
                <c:pt idx="6">
                  <c:v>0.0484387884343684</c:v>
                </c:pt>
                <c:pt idx="7">
                  <c:v>0.0395058572371376</c:v>
                </c:pt>
                <c:pt idx="8">
                  <c:v>0.0305729260399068</c:v>
                </c:pt>
                <c:pt idx="9">
                  <c:v>0.0249335843109266</c:v>
                </c:pt>
                <c:pt idx="10">
                  <c:v>0.0192942425819465</c:v>
                </c:pt>
                <c:pt idx="11">
                  <c:v>0.015734845933213</c:v>
                </c:pt>
                <c:pt idx="12">
                  <c:v>0.0121754492844794</c:v>
                </c:pt>
                <c:pt idx="13">
                  <c:v>0.00992913883046676</c:v>
                </c:pt>
                <c:pt idx="14">
                  <c:v>0.00768282837645407</c:v>
                </c:pt>
              </c:numCache>
            </c:numRef>
          </c:val>
          <c:smooth val="0"/>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c:v>
                </c:pt>
                <c:pt idx="2">
                  <c:v>2.3238</c:v>
                </c:pt>
                <c:pt idx="3">
                  <c:v>2.2758</c:v>
                </c:pt>
                <c:pt idx="4">
                  <c:v>2.0239</c:v>
                </c:pt>
                <c:pt idx="5">
                  <c:v>1.9745</c:v>
                </c:pt>
                <c:pt idx="6">
                  <c:v>1.9173</c:v>
                </c:pt>
                <c:pt idx="7">
                  <c:v>1.8942</c:v>
                </c:pt>
                <c:pt idx="8">
                  <c:v>1.8123</c:v>
                </c:pt>
                <c:pt idx="9">
                  <c:v>1.75304</c:v>
                </c:pt>
                <c:pt idx="10">
                  <c:v>1.7028</c:v>
                </c:pt>
              </c:numCache>
            </c:numRef>
          </c:val>
          <c:smooth val="0"/>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c:v>
                </c:pt>
                <c:pt idx="1">
                  <c:v>2.234507</c:v>
                </c:pt>
                <c:pt idx="2">
                  <c:v>2.085509</c:v>
                </c:pt>
                <c:pt idx="3">
                  <c:v>1.965185</c:v>
                </c:pt>
                <c:pt idx="4">
                  <c:v>1.868302</c:v>
                </c:pt>
                <c:pt idx="5">
                  <c:v>1.784513</c:v>
                </c:pt>
                <c:pt idx="6">
                  <c:v>1.677263</c:v>
                </c:pt>
                <c:pt idx="7">
                  <c:v>1.557885</c:v>
                </c:pt>
                <c:pt idx="8">
                  <c:v>1.460974</c:v>
                </c:pt>
                <c:pt idx="9">
                  <c:v>1.382622</c:v>
                </c:pt>
                <c:pt idx="10">
                  <c:v>1.319487</c:v>
                </c:pt>
                <c:pt idx="11">
                  <c:v>1.276502</c:v>
                </c:pt>
                <c:pt idx="12">
                  <c:v>1.248355</c:v>
                </c:pt>
                <c:pt idx="13">
                  <c:v>1.225869</c:v>
                </c:pt>
                <c:pt idx="14">
                  <c:v>1.208244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0.90579394309509</c:v>
                </c:pt>
                <c:pt idx="2">
                  <c:v>0.90579394308038</c:v>
                </c:pt>
                <c:pt idx="3">
                  <c:v>0.905793943068656</c:v>
                </c:pt>
                <c:pt idx="4">
                  <c:v>0.90579394305933</c:v>
                </c:pt>
                <c:pt idx="5">
                  <c:v>0.905793943051958</c:v>
                </c:pt>
                <c:pt idx="6">
                  <c:v>0.905793943046074</c:v>
                </c:pt>
                <c:pt idx="7">
                  <c:v>0.905793943041411</c:v>
                </c:pt>
                <c:pt idx="8">
                  <c:v>0.905793943037714</c:v>
                </c:pt>
                <c:pt idx="9">
                  <c:v>0.90579394303475</c:v>
                </c:pt>
                <c:pt idx="10">
                  <c:v>0.905793943032418</c:v>
                </c:pt>
                <c:pt idx="11">
                  <c:v>0.905793943030564</c:v>
                </c:pt>
                <c:pt idx="12">
                  <c:v>0.905793943029065</c:v>
                </c:pt>
                <c:pt idx="13">
                  <c:v>0.905793943027899</c:v>
                </c:pt>
                <c:pt idx="14">
                  <c:v>0.905793943026967</c:v>
                </c:pt>
                <c:pt idx="15">
                  <c:v>0.905793943026245</c:v>
                </c:pt>
              </c:numCache>
            </c:numRef>
          </c:val>
          <c:smooth val="0"/>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manualLayout>
              <c:xMode val="edge"/>
              <c:yMode val="edge"/>
              <c:x val="0.469230361385247"/>
              <c:y val="0.8346773862010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7422098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manualLayout>
          <c:xMode val="edge"/>
          <c:yMode val="edge"/>
          <c:x val="0.125002511940909"/>
          <c:y val="0.0176095091349329"/>
        </c:manualLayout>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c:v>
                </c:pt>
                <c:pt idx="1">
                  <c:v>0.617323407237458</c:v>
                </c:pt>
                <c:pt idx="2">
                  <c:v>0.601684399429847</c:v>
                </c:pt>
                <c:pt idx="3">
                  <c:v>0.589107820606294</c:v>
                </c:pt>
                <c:pt idx="4">
                  <c:v>0.579017641806479</c:v>
                </c:pt>
                <c:pt idx="5">
                  <c:v>0.570937880403466</c:v>
                </c:pt>
                <c:pt idx="6">
                  <c:v>0.564478149919789</c:v>
                </c:pt>
                <c:pt idx="7">
                  <c:v>0.559320232102423</c:v>
                </c:pt>
                <c:pt idx="8">
                  <c:v>0.555206039380263</c:v>
                </c:pt>
                <c:pt idx="9">
                  <c:v>0.551927109175476</c:v>
                </c:pt>
                <c:pt idx="10">
                  <c:v>0.549315620426982</c:v>
                </c:pt>
                <c:pt idx="11">
                  <c:v>0.547236831839715</c:v>
                </c:pt>
                <c:pt idx="12">
                  <c:v>0.545582794428734</c:v>
                </c:pt>
                <c:pt idx="13">
                  <c:v>0.544267173562518</c:v>
                </c:pt>
                <c:pt idx="14">
                  <c:v>0.543221016764883</c:v>
                </c:pt>
              </c:numCache>
            </c:numRef>
          </c:val>
          <c:smooth val="0"/>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0.726179703173568</c:v>
                </c:pt>
                <c:pt idx="1">
                  <c:v>0.704469716213507</c:v>
                </c:pt>
                <c:pt idx="2">
                  <c:v>0.686971814384685</c:v>
                </c:pt>
                <c:pt idx="3">
                  <c:v>0.672906736074963</c:v>
                </c:pt>
                <c:pt idx="4">
                  <c:v>0.661626319409836</c:v>
                </c:pt>
                <c:pt idx="5">
                  <c:v>0.6525959519179</c:v>
                </c:pt>
                <c:pt idx="6">
                  <c:v>0.645377763817734</c:v>
                </c:pt>
                <c:pt idx="7">
                  <c:v>0.639615203458066</c:v>
                </c:pt>
                <c:pt idx="8">
                  <c:v>0.635019322587294</c:v>
                </c:pt>
                <c:pt idx="9">
                  <c:v>0.631356873179656</c:v>
                </c:pt>
                <c:pt idx="10">
                  <c:v>0.628440168166655</c:v>
                </c:pt>
                <c:pt idx="11">
                  <c:v>0.626118570149004</c:v>
                </c:pt>
                <c:pt idx="12">
                  <c:v>0.624271428401646</c:v>
                </c:pt>
                <c:pt idx="13">
                  <c:v>0.622802270651035</c:v>
                </c:pt>
                <c:pt idx="14">
                  <c:v>0.621634060844778</c:v>
                </c:pt>
              </c:numCache>
            </c:numRef>
          </c:val>
          <c:smooth val="0"/>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c:v>
                </c:pt>
                <c:pt idx="2">
                  <c:v>0.96694762156697</c:v>
                </c:pt>
                <c:pt idx="3">
                  <c:v>0.9464808114761</c:v>
                </c:pt>
                <c:pt idx="4">
                  <c:v>0.930051579159407</c:v>
                </c:pt>
                <c:pt idx="5">
                  <c:v>0.916890315518899</c:v>
                </c:pt>
                <c:pt idx="6">
                  <c:v>0.906364516736341</c:v>
                </c:pt>
                <c:pt idx="7">
                  <c:v>0.897957802669777</c:v>
                </c:pt>
                <c:pt idx="8">
                  <c:v>0.891250870111411</c:v>
                </c:pt>
                <c:pt idx="9">
                  <c:v>0.885904729692009</c:v>
                </c:pt>
                <c:pt idx="10">
                  <c:v>0.88164628825253</c:v>
                </c:pt>
                <c:pt idx="11">
                  <c:v>0.878256162947129</c:v>
                </c:pt>
                <c:pt idx="12">
                  <c:v>0.875558518708707</c:v>
                </c:pt>
                <c:pt idx="13">
                  <c:v>0.873412680674298</c:v>
                </c:pt>
                <c:pt idx="14">
                  <c:v>0.87170626740692</c:v>
                </c:pt>
                <c:pt idx="15">
                  <c:v>0.870349604733581</c:v>
                </c:pt>
                <c:pt idx="16">
                  <c:v>0.869271203985018</c:v>
                </c:pt>
                <c:pt idx="17">
                  <c:v>0.868414116182835</c:v>
                </c:pt>
                <c:pt idx="18">
                  <c:v>0.867733001594881</c:v>
                </c:pt>
                <c:pt idx="19">
                  <c:v>0.867191780062936</c:v>
                </c:pt>
                <c:pt idx="20">
                  <c:v>0.866761750655789</c:v>
                </c:pt>
              </c:numCache>
            </c:numRef>
          </c:val>
          <c:smooth val="0"/>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0.0911242687064662</c:v>
                </c:pt>
                <c:pt idx="1">
                  <c:v>0.0758565620747831</c:v>
                </c:pt>
                <c:pt idx="2">
                  <c:v>0.0605888554431</c:v>
                </c:pt>
                <c:pt idx="3">
                  <c:v>0.0501753233714986</c:v>
                </c:pt>
                <c:pt idx="4">
                  <c:v>0.0397617912998971</c:v>
                </c:pt>
                <c:pt idx="5">
                  <c:v>0.0327851056026118</c:v>
                </c:pt>
                <c:pt idx="6">
                  <c:v>0.0258084199053266</c:v>
                </c:pt>
                <c:pt idx="7">
                  <c:v>0.0212079575903579</c:v>
                </c:pt>
                <c:pt idx="8">
                  <c:v>0.0166074952753892</c:v>
                </c:pt>
                <c:pt idx="9">
                  <c:v>0.0136130852971317</c:v>
                </c:pt>
                <c:pt idx="10">
                  <c:v>0.0106186753188742</c:v>
                </c:pt>
                <c:pt idx="11">
                  <c:v>0.00868880959611906</c:v>
                </c:pt>
                <c:pt idx="12">
                  <c:v>0.00675894387336395</c:v>
                </c:pt>
                <c:pt idx="13">
                  <c:v>0.00552397048575459</c:v>
                </c:pt>
                <c:pt idx="14">
                  <c:v>0.00428899709814523</c:v>
                </c:pt>
              </c:numCache>
            </c:numRef>
          </c:val>
          <c:smooth val="0"/>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0.0027642</c:v>
                </c:pt>
                <c:pt idx="1">
                  <c:v>0.00275542</c:v>
                </c:pt>
                <c:pt idx="2">
                  <c:v>0.002699474</c:v>
                </c:pt>
                <c:pt idx="3">
                  <c:v>0.00259447</c:v>
                </c:pt>
                <c:pt idx="4">
                  <c:v>0.0024531</c:v>
                </c:pt>
                <c:pt idx="5">
                  <c:v>0.0023431</c:v>
                </c:pt>
                <c:pt idx="6">
                  <c:v>0.00229447</c:v>
                </c:pt>
                <c:pt idx="7">
                  <c:v>0.0020431</c:v>
                </c:pt>
                <c:pt idx="8">
                  <c:v>0.00199447</c:v>
                </c:pt>
                <c:pt idx="9">
                  <c:v>0.00174585</c:v>
                </c:pt>
                <c:pt idx="10">
                  <c:v>0.0012431</c:v>
                </c:pt>
              </c:numCache>
            </c:numRef>
          </c:val>
          <c:smooth val="0"/>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0.202284</c:v>
                </c:pt>
                <c:pt idx="2">
                  <c:v>0.189868</c:v>
                </c:pt>
                <c:pt idx="3">
                  <c:v>0.166266</c:v>
                </c:pt>
                <c:pt idx="4">
                  <c:v>0.133731</c:v>
                </c:pt>
                <c:pt idx="5">
                  <c:v>0.110302</c:v>
                </c:pt>
                <c:pt idx="6">
                  <c:v>0.092204</c:v>
                </c:pt>
                <c:pt idx="7">
                  <c:v>0.077695</c:v>
                </c:pt>
                <c:pt idx="8">
                  <c:v>0.0660849999999999</c:v>
                </c:pt>
                <c:pt idx="9">
                  <c:v>0.0568069999999999</c:v>
                </c:pt>
                <c:pt idx="10">
                  <c:v>0.0494019999999999</c:v>
                </c:pt>
                <c:pt idx="11">
                  <c:v>0.043497</c:v>
                </c:pt>
                <c:pt idx="12">
                  <c:v>0.038793</c:v>
                </c:pt>
                <c:pt idx="13">
                  <c:v>0.0350459999999999</c:v>
                </c:pt>
                <c:pt idx="14">
                  <c:v>0.032064</c:v>
                </c:pt>
              </c:numCache>
            </c:numRef>
          </c:val>
          <c:smooth val="0"/>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2936133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c:v>
                </c:pt>
                <c:pt idx="1">
                  <c:v>3.74678537173704</c:v>
                </c:pt>
                <c:pt idx="2">
                  <c:v>3.62688215902435</c:v>
                </c:pt>
                <c:pt idx="3">
                  <c:v>3.53125536666565</c:v>
                </c:pt>
                <c:pt idx="4">
                  <c:v>3.45505212719377</c:v>
                </c:pt>
                <c:pt idx="5">
                  <c:v>3.39436681074428</c:v>
                </c:pt>
                <c:pt idx="6">
                  <c:v>3.34606455795193</c:v>
                </c:pt>
                <c:pt idx="7">
                  <c:v>3.30763453904145</c:v>
                </c:pt>
                <c:pt idx="8">
                  <c:v>3.27706914872158</c:v>
                </c:pt>
                <c:pt idx="9">
                  <c:v>3.25276531768981</c:v>
                </c:pt>
                <c:pt idx="10">
                  <c:v>3.23344437314216</c:v>
                </c:pt>
                <c:pt idx="11">
                  <c:v>3.21808726523671</c:v>
                </c:pt>
                <c:pt idx="12">
                  <c:v>3.20588240446614</c:v>
                </c:pt>
                <c:pt idx="13">
                  <c:v>3.19618377528564</c:v>
                </c:pt>
                <c:pt idx="14">
                  <c:v>3.18847737759881</c:v>
                </c:pt>
              </c:numCache>
            </c:numRef>
          </c:val>
          <c:smooth val="0"/>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581017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c:v>
                </c:pt>
                <c:pt idx="2">
                  <c:v>0.740814109403321</c:v>
                </c:pt>
                <c:pt idx="3">
                  <c:v>0.725401743154819</c:v>
                </c:pt>
                <c:pt idx="4">
                  <c:v>0.713031401761033</c:v>
                </c:pt>
                <c:pt idx="5">
                  <c:v>0.703122571423798</c:v>
                </c:pt>
                <c:pt idx="6">
                  <c:v>0.695198451244028</c:v>
                </c:pt>
                <c:pt idx="7">
                  <c:v>0.688869945739556</c:v>
                </c:pt>
                <c:pt idx="8">
                  <c:v>0.683821202951762</c:v>
                </c:pt>
                <c:pt idx="9">
                  <c:v>0.679796924058596</c:v>
                </c:pt>
                <c:pt idx="10">
                  <c:v>0.676591469063481</c:v>
                </c:pt>
                <c:pt idx="11">
                  <c:v>0.674039660039594</c:v>
                </c:pt>
                <c:pt idx="12">
                  <c:v>0.672009117591954</c:v>
                </c:pt>
                <c:pt idx="13">
                  <c:v>0.67039393924343</c:v>
                </c:pt>
                <c:pt idx="14">
                  <c:v>0.669109525951439</c:v>
                </c:pt>
              </c:numCache>
            </c:numRef>
          </c:val>
          <c:smooth val="0"/>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425159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22192038495188"/>
          <c:h val="0.65570173519976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42.9963287134353</c:v>
                </c:pt>
                <c:pt idx="1">
                  <c:v>36.9757288001557</c:v>
                </c:pt>
                <c:pt idx="2">
                  <c:v>33.4539036190421</c:v>
                </c:pt>
                <c:pt idx="3">
                  <c:v>30.9551288868761</c:v>
                </c:pt>
                <c:pt idx="4">
                  <c:v>29.0169286267149</c:v>
                </c:pt>
                <c:pt idx="5">
                  <c:v>27.4333037057624</c:v>
                </c:pt>
                <c:pt idx="6">
                  <c:v>26.0943679131502</c:v>
                </c:pt>
                <c:pt idx="7">
                  <c:v>24.9345289735964</c:v>
                </c:pt>
                <c:pt idx="8">
                  <c:v>23.9114785246488</c:v>
                </c:pt>
                <c:pt idx="9">
                  <c:v>22.9963287134353</c:v>
                </c:pt>
                <c:pt idx="10">
                  <c:v>22.1684750102708</c:v>
                </c:pt>
                <c:pt idx="11">
                  <c:v>21.4127037924828</c:v>
                </c:pt>
                <c:pt idx="12">
                  <c:v>20.7174616672986</c:v>
                </c:pt>
                <c:pt idx="13">
                  <c:v>20.0737679998705</c:v>
                </c:pt>
                <c:pt idx="14">
                  <c:v>19.4745035323217</c:v>
                </c:pt>
                <c:pt idx="15">
                  <c:v>18.9139290603168</c:v>
                </c:pt>
                <c:pt idx="16">
                  <c:v>18.3873502858698</c:v>
                </c:pt>
                <c:pt idx="17">
                  <c:v>17.8908786113692</c:v>
                </c:pt>
                <c:pt idx="18">
                  <c:v>17.4212566943787</c:v>
                </c:pt>
                <c:pt idx="19">
                  <c:v>16.9757288001557</c:v>
                </c:pt>
                <c:pt idx="20">
                  <c:v>16.5519428187569</c:v>
                </c:pt>
                <c:pt idx="21">
                  <c:v>16.1478750969912</c:v>
                </c:pt>
                <c:pt idx="22">
                  <c:v>15.7617719930834</c:v>
                </c:pt>
                <c:pt idx="23">
                  <c:v>15.3921038792032</c:v>
                </c:pt>
                <c:pt idx="24">
                  <c:v>15.0375285399946</c:v>
                </c:pt>
                <c:pt idx="25">
                  <c:v>14.696861754019</c:v>
                </c:pt>
                <c:pt idx="26">
                  <c:v>14.3690534302555</c:v>
                </c:pt>
                <c:pt idx="27">
                  <c:v>14.0531680865909</c:v>
                </c:pt>
                <c:pt idx="28">
                  <c:v>13.7483687554562</c:v>
                </c:pt>
                <c:pt idx="29">
                  <c:v>13.4539036190421</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43.9963287134353</c:v>
                </c:pt>
                <c:pt idx="1">
                  <c:v>37.9757288001557</c:v>
                </c:pt>
                <c:pt idx="2">
                  <c:v>34.4539036190421</c:v>
                </c:pt>
                <c:pt idx="3">
                  <c:v>31.9551288868761</c:v>
                </c:pt>
                <c:pt idx="4">
                  <c:v>30.0169286267149</c:v>
                </c:pt>
                <c:pt idx="5">
                  <c:v>28.4333037057624</c:v>
                </c:pt>
                <c:pt idx="6">
                  <c:v>27.0943679131502</c:v>
                </c:pt>
                <c:pt idx="7">
                  <c:v>25.9345289735964</c:v>
                </c:pt>
                <c:pt idx="8">
                  <c:v>24.9114785246488</c:v>
                </c:pt>
                <c:pt idx="9">
                  <c:v>23.9963287134353</c:v>
                </c:pt>
                <c:pt idx="10">
                  <c:v>23.1684750102708</c:v>
                </c:pt>
                <c:pt idx="11">
                  <c:v>22.4127037924828</c:v>
                </c:pt>
                <c:pt idx="12">
                  <c:v>21.7174616672986</c:v>
                </c:pt>
                <c:pt idx="13">
                  <c:v>21.0737679998705</c:v>
                </c:pt>
                <c:pt idx="14">
                  <c:v>20.4745035323217</c:v>
                </c:pt>
                <c:pt idx="15">
                  <c:v>19.9139290603168</c:v>
                </c:pt>
                <c:pt idx="16">
                  <c:v>19.3873502858698</c:v>
                </c:pt>
                <c:pt idx="17">
                  <c:v>18.8908786113692</c:v>
                </c:pt>
                <c:pt idx="18">
                  <c:v>18.4212566943787</c:v>
                </c:pt>
                <c:pt idx="19">
                  <c:v>17.9757288001557</c:v>
                </c:pt>
                <c:pt idx="20">
                  <c:v>17.5519428187569</c:v>
                </c:pt>
                <c:pt idx="21">
                  <c:v>17.1478750969912</c:v>
                </c:pt>
                <c:pt idx="22">
                  <c:v>16.7617719930834</c:v>
                </c:pt>
                <c:pt idx="23">
                  <c:v>16.3921038792032</c:v>
                </c:pt>
                <c:pt idx="24">
                  <c:v>16.0375285399946</c:v>
                </c:pt>
                <c:pt idx="25">
                  <c:v>15.696861754019</c:v>
                </c:pt>
                <c:pt idx="26">
                  <c:v>15.3690534302555</c:v>
                </c:pt>
                <c:pt idx="27">
                  <c:v>15.0531680865909</c:v>
                </c:pt>
                <c:pt idx="28">
                  <c:v>14.7483687554562</c:v>
                </c:pt>
                <c:pt idx="29">
                  <c:v>14.4539036190421</c:v>
                </c:pt>
              </c:numCache>
            </c:numRef>
          </c:val>
          <c:smooth val="0"/>
        </c:ser>
        <c:dLbls>
          <c:showLegendKey val="0"/>
          <c:showVal val="0"/>
          <c:showCatName val="0"/>
          <c:showSerName val="0"/>
          <c:showPercent val="0"/>
          <c:showBubbleSize val="0"/>
        </c:dLbls>
        <c:marker val="0"/>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50542952"/>
        <c:crosses val="autoZero"/>
        <c:crossBetween val="between"/>
      </c:valAx>
      <c:spPr>
        <a:noFill/>
        <a:ln>
          <a:noFill/>
        </a:ln>
        <a:effectLst/>
      </c:spPr>
    </c:plotArea>
    <c:legend>
      <c:legendPos val="b"/>
      <c:layout>
        <c:manualLayout>
          <c:xMode val="edge"/>
          <c:yMode val="edge"/>
          <c:x val="0.635755249343832"/>
          <c:y val="0.232059638378536"/>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layout/>
      <c:overlay val="0"/>
      <c:spPr>
        <a:noFill/>
        <a:ln>
          <a:noFill/>
        </a:ln>
        <a:effectLst/>
      </c:spPr>
    </c:title>
    <c:autoTitleDeleted val="0"/>
    <c:plotArea>
      <c:layout>
        <c:manualLayout>
          <c:layoutTarget val="inner"/>
          <c:xMode val="edge"/>
          <c:yMode val="edge"/>
          <c:x val="0.144456036745407"/>
          <c:y val="0.171712962962963"/>
          <c:w val="0.833580489938758"/>
          <c:h val="0.64644247594050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c:v>
                </c:pt>
                <c:pt idx="1">
                  <c:v>34.9448289302362</c:v>
                </c:pt>
                <c:pt idx="2">
                  <c:v>31.4230037491226</c:v>
                </c:pt>
                <c:pt idx="3">
                  <c:v>28.9242290169566</c:v>
                </c:pt>
                <c:pt idx="4">
                  <c:v>26.9860287567955</c:v>
                </c:pt>
                <c:pt idx="5">
                  <c:v>25.402403835843</c:v>
                </c:pt>
                <c:pt idx="6">
                  <c:v>24.0634680432307</c:v>
                </c:pt>
                <c:pt idx="7">
                  <c:v>22.903629103677</c:v>
                </c:pt>
                <c:pt idx="8">
                  <c:v>21.8805786547294</c:v>
                </c:pt>
                <c:pt idx="9">
                  <c:v>20.9654288435159</c:v>
                </c:pt>
                <c:pt idx="10">
                  <c:v>20.1375751403514</c:v>
                </c:pt>
                <c:pt idx="11">
                  <c:v>19.3818039225634</c:v>
                </c:pt>
                <c:pt idx="12">
                  <c:v>18.6865617973791</c:v>
                </c:pt>
                <c:pt idx="13">
                  <c:v>18.0428681299511</c:v>
                </c:pt>
                <c:pt idx="14">
                  <c:v>17.4436036624022</c:v>
                </c:pt>
                <c:pt idx="15">
                  <c:v>16.8830291903974</c:v>
                </c:pt>
                <c:pt idx="16">
                  <c:v>16.3564504159504</c:v>
                </c:pt>
                <c:pt idx="17">
                  <c:v>15.8599787414497</c:v>
                </c:pt>
                <c:pt idx="18">
                  <c:v>15.3903568244593</c:v>
                </c:pt>
                <c:pt idx="19">
                  <c:v>14.9448289302362</c:v>
                </c:pt>
                <c:pt idx="20">
                  <c:v>14.5210429488375</c:v>
                </c:pt>
                <c:pt idx="21">
                  <c:v>14.1169752270717</c:v>
                </c:pt>
                <c:pt idx="22">
                  <c:v>13.730872123164</c:v>
                </c:pt>
                <c:pt idx="23">
                  <c:v>13.3612040092837</c:v>
                </c:pt>
                <c:pt idx="24">
                  <c:v>13.0066286700751</c:v>
                </c:pt>
                <c:pt idx="25">
                  <c:v>12.6659618840995</c:v>
                </c:pt>
                <c:pt idx="26">
                  <c:v>12.3381535603361</c:v>
                </c:pt>
                <c:pt idx="27">
                  <c:v>12.0222682166715</c:v>
                </c:pt>
                <c:pt idx="28">
                  <c:v>11.7174688855367</c:v>
                </c:pt>
                <c:pt idx="29">
                  <c:v>11.4230037491226</c:v>
                </c:pt>
              </c:numCache>
            </c:numRef>
          </c:val>
          <c:smooth val="0"/>
        </c:ser>
        <c:ser>
          <c:idx val="1"/>
          <c:order val="1"/>
          <c:tx>
            <c:strRef>
              <c:f>UL</c:f>
              <c:strCache>
                <c:ptCount val="1"/>
                <c:pt idx="0">
                  <c:v>UL</c:v>
                </c:pt>
              </c:strCache>
            </c:strRef>
          </c:tx>
          <c:spPr>
            <a:ln w="28575" cap="rnd">
              <a:solidFill>
                <a:srgbClr val="ED7D31"/>
              </a:solidFill>
              <a:round/>
            </a:ln>
            <a:effectLst/>
          </c:spPr>
          <c:marker>
            <c:symbol val="none"/>
          </c:marker>
          <c:dLbls>
            <c:delete val="1"/>
          </c:dLbls>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c:v>
                </c:pt>
                <c:pt idx="1">
                  <c:v>31.9448289302362</c:v>
                </c:pt>
                <c:pt idx="2">
                  <c:v>28.4230037491226</c:v>
                </c:pt>
                <c:pt idx="3">
                  <c:v>25.9242290169566</c:v>
                </c:pt>
                <c:pt idx="4">
                  <c:v>23.9860287567955</c:v>
                </c:pt>
                <c:pt idx="5">
                  <c:v>22.402403835843</c:v>
                </c:pt>
                <c:pt idx="6">
                  <c:v>21.0634680432307</c:v>
                </c:pt>
                <c:pt idx="7">
                  <c:v>19.903629103677</c:v>
                </c:pt>
                <c:pt idx="8">
                  <c:v>18.8805786547294</c:v>
                </c:pt>
                <c:pt idx="9">
                  <c:v>17.9654288435159</c:v>
                </c:pt>
                <c:pt idx="10">
                  <c:v>17.1375751403514</c:v>
                </c:pt>
                <c:pt idx="11">
                  <c:v>16.3818039225634</c:v>
                </c:pt>
                <c:pt idx="12">
                  <c:v>15.6865617973791</c:v>
                </c:pt>
                <c:pt idx="13">
                  <c:v>15.0428681299511</c:v>
                </c:pt>
                <c:pt idx="14">
                  <c:v>14.4436036624022</c:v>
                </c:pt>
                <c:pt idx="15">
                  <c:v>13.8830291903974</c:v>
                </c:pt>
                <c:pt idx="16">
                  <c:v>13.3564504159504</c:v>
                </c:pt>
                <c:pt idx="17">
                  <c:v>12.8599787414497</c:v>
                </c:pt>
                <c:pt idx="18">
                  <c:v>12.3903568244593</c:v>
                </c:pt>
                <c:pt idx="19">
                  <c:v>11.9448289302362</c:v>
                </c:pt>
                <c:pt idx="20">
                  <c:v>11.5210429488375</c:v>
                </c:pt>
                <c:pt idx="21">
                  <c:v>11.1169752270717</c:v>
                </c:pt>
                <c:pt idx="22">
                  <c:v>10.730872123164</c:v>
                </c:pt>
                <c:pt idx="23">
                  <c:v>10.3612040092837</c:v>
                </c:pt>
                <c:pt idx="24">
                  <c:v>10.0066286700751</c:v>
                </c:pt>
                <c:pt idx="25">
                  <c:v>9.66596188409952</c:v>
                </c:pt>
                <c:pt idx="26">
                  <c:v>9.33815356033611</c:v>
                </c:pt>
                <c:pt idx="27">
                  <c:v>9.02226821667148</c:v>
                </c:pt>
                <c:pt idx="28">
                  <c:v>8.71746888553673</c:v>
                </c:pt>
                <c:pt idx="29">
                  <c:v>8.42300374912261</c:v>
                </c:pt>
              </c:numCache>
            </c:numRef>
          </c:val>
          <c:smooth val="0"/>
        </c:ser>
        <c:dLbls>
          <c:showLegendKey val="0"/>
          <c:showVal val="0"/>
          <c:showCatName val="0"/>
          <c:showSerName val="0"/>
          <c:showPercent val="0"/>
          <c:showBubbleSize val="0"/>
        </c:dLbls>
        <c:marker val="0"/>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baseline="0"/>
              </a:p>
            </c:rich>
          </c:tx>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endParaRPr lang="en-US"/>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1078052784"/>
        <c:crosses val="autoZero"/>
        <c:crossBetween val="between"/>
      </c:valAx>
      <c:spPr>
        <a:noFill/>
        <a:ln>
          <a:noFill/>
        </a:ln>
        <a:effectLst/>
      </c:spPr>
    </c:plotArea>
    <c:legend>
      <c:legendPos val="b"/>
      <c:layout>
        <c:manualLayout>
          <c:xMode val="edge"/>
          <c:yMode val="edge"/>
          <c:x val="0.632977471566054"/>
          <c:y val="0.241318897637795"/>
          <c:w val="0.222933727034121"/>
          <c:h val="0.078125546806649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endParaRPr lang="en-US"/>
          </a:p>
        </c:rich>
      </c:tx>
      <c:layout>
        <c:manualLayout>
          <c:xMode val="edge"/>
          <c:yMode val="edge"/>
          <c:x val="0.114524573317224"/>
          <c:y val="0.0166701396124193"/>
        </c:manualLayout>
      </c:layout>
      <c:overlay val="0"/>
      <c:spPr>
        <a:noFill/>
        <a:ln>
          <a:noFill/>
        </a:ln>
        <a:effectLst/>
      </c:sp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18.5831965302026</c:v>
                </c:pt>
                <c:pt idx="1">
                  <c:v>15.996443296714</c:v>
                </c:pt>
                <c:pt idx="2">
                  <c:v>13.6109756272853</c:v>
                </c:pt>
                <c:pt idx="3">
                  <c:v>11.3762088100829</c:v>
                </c:pt>
                <c:pt idx="4">
                  <c:v>9.42043067219265</c:v>
                </c:pt>
                <c:pt idx="5">
                  <c:v>7.69896947948924</c:v>
                </c:pt>
                <c:pt idx="6">
                  <c:v>6.18509980604792</c:v>
                </c:pt>
                <c:pt idx="7">
                  <c:v>4.91922815481447</c:v>
                </c:pt>
                <c:pt idx="8">
                  <c:v>3.89216861733728</c:v>
                </c:pt>
                <c:pt idx="9">
                  <c:v>3.05819341275929</c:v>
                </c:pt>
                <c:pt idx="10">
                  <c:v>2.38179273359705</c:v>
                </c:pt>
                <c:pt idx="11">
                  <c:v>1.90913989136771</c:v>
                </c:pt>
                <c:pt idx="12">
                  <c:v>1.53874956052587</c:v>
                </c:pt>
                <c:pt idx="13">
                  <c:v>1.25710780868554</c:v>
                </c:pt>
                <c:pt idx="14">
                  <c:v>1.04292939144073</c:v>
                </c:pt>
                <c:pt idx="15">
                  <c:v>0.860994365590173</c:v>
                </c:pt>
                <c:pt idx="16">
                  <c:v>0.712513246533253</c:v>
                </c:pt>
                <c:pt idx="17">
                  <c:v>0.607240272448262</c:v>
                </c:pt>
                <c:pt idx="18">
                  <c:v>0.507958802752329</c:v>
                </c:pt>
                <c:pt idx="19">
                  <c:v>0.450418478943537</c:v>
                </c:pt>
                <c:pt idx="20">
                  <c:v>0.400751413852929</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c:v>
                </c:pt>
                <c:pt idx="3">
                  <c:v>14.8162384569773</c:v>
                </c:pt>
                <c:pt idx="4">
                  <c:v>12.5064852764703</c:v>
                </c:pt>
                <c:pt idx="5">
                  <c:v>10.4394198922443</c:v>
                </c:pt>
                <c:pt idx="6">
                  <c:v>8.62723360704076</c:v>
                </c:pt>
                <c:pt idx="7">
                  <c:v>7.02434684963236</c:v>
                </c:pt>
                <c:pt idx="8">
                  <c:v>5.70262660990349</c:v>
                </c:pt>
                <c:pt idx="9">
                  <c:v>4.56413595227031</c:v>
                </c:pt>
                <c:pt idx="10">
                  <c:v>3.60131778553694</c:v>
                </c:pt>
                <c:pt idx="11">
                  <c:v>2.83701598692705</c:v>
                </c:pt>
                <c:pt idx="12">
                  <c:v>2.28952858504843</c:v>
                </c:pt>
                <c:pt idx="13">
                  <c:v>1.85909249642993</c:v>
                </c:pt>
                <c:pt idx="14">
                  <c:v>1.51326035423147</c:v>
                </c:pt>
                <c:pt idx="15">
                  <c:v>1.26080879260597</c:v>
                </c:pt>
                <c:pt idx="16">
                  <c:v>1.03186150995475</c:v>
                </c:pt>
                <c:pt idx="17">
                  <c:v>0.86525167563547</c:v>
                </c:pt>
                <c:pt idx="18">
                  <c:v>0.743112739579144</c:v>
                </c:pt>
                <c:pt idx="19">
                  <c:v>0.641458835723852</c:v>
                </c:pt>
                <c:pt idx="20">
                  <c:v>0.568188458212815</c:v>
                </c:pt>
              </c:numCache>
            </c:numRef>
          </c:val>
          <c:smooth val="0"/>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c:v>
                </c:pt>
                <c:pt idx="1">
                  <c:v>35.0234393383987</c:v>
                </c:pt>
                <c:pt idx="2">
                  <c:v>31.4645126281122</c:v>
                </c:pt>
                <c:pt idx="3">
                  <c:v>28.0628090897764</c:v>
                </c:pt>
                <c:pt idx="4">
                  <c:v>24.7849906241073</c:v>
                </c:pt>
                <c:pt idx="5">
                  <c:v>21.7451067097001</c:v>
                </c:pt>
                <c:pt idx="6">
                  <c:v>18.8726912369587</c:v>
                </c:pt>
                <c:pt idx="7">
                  <c:v>16.164040579989</c:v>
                </c:pt>
                <c:pt idx="8">
                  <c:v>13.7146570494719</c:v>
                </c:pt>
                <c:pt idx="9">
                  <c:v>11.5332678213875</c:v>
                </c:pt>
                <c:pt idx="10">
                  <c:v>9.5621015952747</c:v>
                </c:pt>
                <c:pt idx="11">
                  <c:v>7.85974438791512</c:v>
                </c:pt>
                <c:pt idx="12">
                  <c:v>6.38915549792746</c:v>
                </c:pt>
                <c:pt idx="13">
                  <c:v>5.14469860792021</c:v>
                </c:pt>
                <c:pt idx="14">
                  <c:v>4.12779700649663</c:v>
                </c:pt>
                <c:pt idx="15">
                  <c:v>3.29456226889965</c:v>
                </c:pt>
                <c:pt idx="16">
                  <c:v>2.63957619773796</c:v>
                </c:pt>
                <c:pt idx="17">
                  <c:v>2.09190448901735</c:v>
                </c:pt>
                <c:pt idx="18">
                  <c:v>1.66536031147826</c:v>
                </c:pt>
                <c:pt idx="19">
                  <c:v>1.35072866685803</c:v>
                </c:pt>
                <c:pt idx="20">
                  <c:v>1.11785855035177</c:v>
                </c:pt>
              </c:numCache>
            </c:numRef>
          </c:val>
          <c:smooth val="0"/>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c:v>
                </c:pt>
                <c:pt idx="1">
                  <c:v>7.64615621410343</c:v>
                </c:pt>
                <c:pt idx="2">
                  <c:v>6.16756832862682</c:v>
                </c:pt>
                <c:pt idx="3">
                  <c:v>4.86973119111536</c:v>
                </c:pt>
                <c:pt idx="4">
                  <c:v>3.81283144767384</c:v>
                </c:pt>
                <c:pt idx="5">
                  <c:v>2.95187309716664</c:v>
                </c:pt>
                <c:pt idx="6">
                  <c:v>2.25766719489904</c:v>
                </c:pt>
                <c:pt idx="7">
                  <c:v>1.73396377066107</c:v>
                </c:pt>
                <c:pt idx="8">
                  <c:v>1.34248222469709</c:v>
                </c:pt>
                <c:pt idx="9">
                  <c:v>1.02333655710372</c:v>
                </c:pt>
                <c:pt idx="10">
                  <c:v>0.794442940430729</c:v>
                </c:pt>
                <c:pt idx="11">
                  <c:v>0.620024458434476</c:v>
                </c:pt>
                <c:pt idx="12">
                  <c:v>0.484888021608065</c:v>
                </c:pt>
                <c:pt idx="13">
                  <c:v>0.384969601236906</c:v>
                </c:pt>
                <c:pt idx="14">
                  <c:v>0.314961164154126</c:v>
                </c:pt>
                <c:pt idx="15">
                  <c:v>0.259582674733283</c:v>
                </c:pt>
                <c:pt idx="16">
                  <c:v>0.205055434065105</c:v>
                </c:pt>
                <c:pt idx="17">
                  <c:v>0.165607717005245</c:v>
                </c:pt>
                <c:pt idx="18">
                  <c:v>0.127693461663647</c:v>
                </c:pt>
                <c:pt idx="19">
                  <c:v>0.107259928049652</c:v>
                </c:pt>
                <c:pt idx="20">
                  <c:v>0.0948584500790495</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endParaRPr lang="en-US"/>
          </a:p>
        </c:rich>
      </c:tx>
      <c:layout/>
      <c:overlay val="0"/>
      <c:spPr>
        <a:noFill/>
        <a:ln>
          <a:noFill/>
        </a:ln>
        <a:effectLst/>
      </c:sp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c:v>
                </c:pt>
                <c:pt idx="1">
                  <c:v>22.1974325346571</c:v>
                </c:pt>
                <c:pt idx="2">
                  <c:v>19.1597218836827</c:v>
                </c:pt>
                <c:pt idx="3">
                  <c:v>16.2700173680569</c:v>
                </c:pt>
                <c:pt idx="4">
                  <c:v>13.6646743944599</c:v>
                </c:pt>
                <c:pt idx="5">
                  <c:v>11.2487109886825</c:v>
                </c:pt>
                <c:pt idx="6">
                  <c:v>9.13422814015907</c:v>
                </c:pt>
                <c:pt idx="7">
                  <c:v>7.29506440029329</c:v>
                </c:pt>
                <c:pt idx="8">
                  <c:v>5.76395503935541</c:v>
                </c:pt>
                <c:pt idx="9">
                  <c:v>4.57183710907257</c:v>
                </c:pt>
                <c:pt idx="10">
                  <c:v>3.62124054192216</c:v>
                </c:pt>
                <c:pt idx="11">
                  <c:v>2.82465744563394</c:v>
                </c:pt>
                <c:pt idx="12">
                  <c:v>2.20557162938203</c:v>
                </c:pt>
                <c:pt idx="13">
                  <c:v>1.74529093339582</c:v>
                </c:pt>
                <c:pt idx="14">
                  <c:v>1.36001024230947</c:v>
                </c:pt>
                <c:pt idx="15">
                  <c:v>1.10318155279391</c:v>
                </c:pt>
                <c:pt idx="16">
                  <c:v>0.887987924558931</c:v>
                </c:pt>
                <c:pt idx="17">
                  <c:v>0.704309985633356</c:v>
                </c:pt>
                <c:pt idx="18">
                  <c:v>0.608793559376764</c:v>
                </c:pt>
                <c:pt idx="19">
                  <c:v>0.52489859432161</c:v>
                </c:pt>
                <c:pt idx="20">
                  <c:v>0.444562347885003</c:v>
                </c:pt>
              </c:numCache>
            </c:numRef>
          </c:val>
          <c:smooth val="0"/>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c:v>
                </c:pt>
                <c:pt idx="1">
                  <c:v>35.1300336629186</c:v>
                </c:pt>
                <c:pt idx="2">
                  <c:v>31.5776109969918</c:v>
                </c:pt>
                <c:pt idx="3">
                  <c:v>28.1304194761463</c:v>
                </c:pt>
                <c:pt idx="4">
                  <c:v>24.8560399682021</c:v>
                </c:pt>
                <c:pt idx="5">
                  <c:v>21.7353911404308</c:v>
                </c:pt>
                <c:pt idx="6">
                  <c:v>18.885400408416</c:v>
                </c:pt>
                <c:pt idx="7">
                  <c:v>16.2282043832408</c:v>
                </c:pt>
                <c:pt idx="8">
                  <c:v>13.7943264153519</c:v>
                </c:pt>
                <c:pt idx="9">
                  <c:v>11.6819102288628</c:v>
                </c:pt>
                <c:pt idx="10">
                  <c:v>9.77313665835855</c:v>
                </c:pt>
                <c:pt idx="11">
                  <c:v>8.18859007914476</c:v>
                </c:pt>
                <c:pt idx="12">
                  <c:v>6.81445164145869</c:v>
                </c:pt>
                <c:pt idx="13">
                  <c:v>5.61385848659461</c:v>
                </c:pt>
                <c:pt idx="14">
                  <c:v>4.66726120595214</c:v>
                </c:pt>
                <c:pt idx="15">
                  <c:v>3.87499003444777</c:v>
                </c:pt>
                <c:pt idx="16">
                  <c:v>3.21310192068413</c:v>
                </c:pt>
                <c:pt idx="17">
                  <c:v>2.70132911630339</c:v>
                </c:pt>
                <c:pt idx="18">
                  <c:v>2.28657071449572</c:v>
                </c:pt>
                <c:pt idx="19">
                  <c:v>1.96734813639061</c:v>
                </c:pt>
                <c:pt idx="20">
                  <c:v>1.69402915223928</c:v>
                </c:pt>
              </c:numCache>
            </c:numRef>
          </c:val>
          <c:smooth val="0"/>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7.31158226526438</c:v>
                </c:pt>
                <c:pt idx="1">
                  <c:v>5.94853751403128</c:v>
                </c:pt>
                <c:pt idx="2">
                  <c:v>4.79696237987761</c:v>
                </c:pt>
                <c:pt idx="3">
                  <c:v>3.83215327304598</c:v>
                </c:pt>
                <c:pt idx="4">
                  <c:v>3.05415222883284</c:v>
                </c:pt>
                <c:pt idx="5">
                  <c:v>2.45181130374816</c:v>
                </c:pt>
                <c:pt idx="6">
                  <c:v>1.92778171496728</c:v>
                </c:pt>
                <c:pt idx="7">
                  <c:v>1.53278279808733</c:v>
                </c:pt>
                <c:pt idx="8">
                  <c:v>1.22773497890248</c:v>
                </c:pt>
                <c:pt idx="9">
                  <c:v>0.990093386686486</c:v>
                </c:pt>
                <c:pt idx="10">
                  <c:v>0.793234295200762</c:v>
                </c:pt>
                <c:pt idx="11">
                  <c:v>0.638647067911902</c:v>
                </c:pt>
                <c:pt idx="12">
                  <c:v>0.494285651519544</c:v>
                </c:pt>
                <c:pt idx="13">
                  <c:v>0.405366915090777</c:v>
                </c:pt>
                <c:pt idx="14">
                  <c:v>0.334014727368248</c:v>
                </c:pt>
                <c:pt idx="15">
                  <c:v>0.267172441042685</c:v>
                </c:pt>
                <c:pt idx="16">
                  <c:v>0.226279605063862</c:v>
                </c:pt>
                <c:pt idx="17">
                  <c:v>0.192076190436463</c:v>
                </c:pt>
                <c:pt idx="18">
                  <c:v>0.166410240752302</c:v>
                </c:pt>
                <c:pt idx="19">
                  <c:v>0.127182660325542</c:v>
                </c:pt>
                <c:pt idx="20">
                  <c:v>0.11534549933454</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138498151131473"/>
              <c:y val="0.243203352896538"/>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endParaRPr lang="en-US"/>
          </a:p>
        </c:rich>
      </c:tx>
      <c:layout/>
      <c:overlay val="0"/>
      <c:spPr>
        <a:noFill/>
        <a:ln>
          <a:noFill/>
        </a:ln>
        <a:effectLst/>
      </c:sp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c:v>
                </c:pt>
                <c:pt idx="1">
                  <c:v>0.306777122328927</c:v>
                </c:pt>
                <c:pt idx="2">
                  <c:v>0.292265457742613</c:v>
                </c:pt>
                <c:pt idx="3">
                  <c:v>0.280415680364499</c:v>
                </c:pt>
                <c:pt idx="4">
                  <c:v>0.270783417208853</c:v>
                </c:pt>
                <c:pt idx="5">
                  <c:v>0.262984606972749</c:v>
                </c:pt>
                <c:pt idx="6">
                  <c:v>0.256691635354711</c:v>
                </c:pt>
                <c:pt idx="7">
                  <c:v>0.251628292008521</c:v>
                </c:pt>
                <c:pt idx="8">
                  <c:v>0.24756407658223</c:v>
                </c:pt>
                <c:pt idx="9">
                  <c:v>0.244308317283026</c:v>
                </c:pt>
                <c:pt idx="10">
                  <c:v>0.24170445717635</c:v>
                </c:pt>
                <c:pt idx="11">
                  <c:v>0.239624746738942</c:v>
                </c:pt>
                <c:pt idx="12">
                  <c:v>0.23796547788083</c:v>
                </c:pt>
                <c:pt idx="13">
                  <c:v>0.236642814281562</c:v>
                </c:pt>
                <c:pt idx="14">
                  <c:v>0.235589216718535</c:v>
                </c:pt>
                <c:pt idx="15">
                  <c:v>0.234750426873187</c:v>
                </c:pt>
              </c:numCache>
            </c:numRef>
          </c:val>
          <c:smooth val="0"/>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1171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endParaRPr lang="en-US"/>
          </a:p>
        </c:rich>
      </c:tx>
      <c:layout/>
      <c:overlay val="0"/>
      <c:spPr>
        <a:noFill/>
        <a:ln>
          <a:noFill/>
        </a:ln>
        <a:effectLst/>
      </c:spPr>
    </c:title>
    <c:autoTitleDeleted val="0"/>
    <c:plotArea>
      <c:layout>
        <c:manualLayout>
          <c:layoutTarget val="inner"/>
          <c:xMode val="edge"/>
          <c:yMode val="edge"/>
          <c:x val="0.111541518538053"/>
          <c:y val="0.164062712005357"/>
          <c:w val="0.832959019973215"/>
          <c:h val="0.600129955360686"/>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1.49265785287511e-6</c:v>
                </c:pt>
                <c:pt idx="1">
                  <c:v>1.18642937696478e-6</c:v>
                </c:pt>
                <c:pt idx="2">
                  <c:v>9.43183708912443e-7</c:v>
                </c:pt>
                <c:pt idx="3">
                  <c:v>7.49966611035546e-7</c:v>
                </c:pt>
                <c:pt idx="4">
                  <c:v>5.96488880511004e-7</c:v>
                </c:pt>
                <c:pt idx="5">
                  <c:v>4.74577122044906e-7</c:v>
                </c:pt>
                <c:pt idx="6">
                  <c:v>3.77739228785146e-7</c:v>
                </c:pt>
                <c:pt idx="7">
                  <c:v>3.00818125964497e-7</c:v>
                </c:pt>
                <c:pt idx="8">
                  <c:v>2.39717579120224e-7</c:v>
                </c:pt>
                <c:pt idx="9">
                  <c:v>1.91183613384993e-7</c:v>
                </c:pt>
                <c:pt idx="10">
                  <c:v>1.5263180719316e-7</c:v>
                </c:pt>
                <c:pt idx="11">
                  <c:v>1.22008880776292e-7</c:v>
                </c:pt>
                <c:pt idx="12">
                  <c:v>9.76844050093462e-8</c:v>
                </c:pt>
                <c:pt idx="13">
                  <c:v>7.8362671906973e-8</c:v>
                </c:pt>
                <c:pt idx="14">
                  <c:v>6.30148822011734e-8</c:v>
                </c:pt>
                <c:pt idx="15">
                  <c:v>5.0823678598988e-8</c:v>
                </c:pt>
                <c:pt idx="16">
                  <c:v>4.1139847084537e-8</c:v>
                </c:pt>
                <c:pt idx="17">
                  <c:v>3.34478000851846e-8</c:v>
                </c:pt>
                <c:pt idx="18">
                  <c:v>2.73376765669298e-8</c:v>
                </c:pt>
                <c:pt idx="19">
                  <c:v>2.24843810237019e-8</c:v>
                </c:pt>
                <c:pt idx="20">
                  <c:v>1.8629131570691e-8</c:v>
                </c:pt>
              </c:numCache>
            </c:numRef>
          </c:val>
          <c:smooth val="0"/>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1.59391857490476e-6</c:v>
                </c:pt>
                <c:pt idx="1">
                  <c:v>1.26691593882455e-6</c:v>
                </c:pt>
                <c:pt idx="2">
                  <c:v>1.00716844864124e-6</c:v>
                </c:pt>
                <c:pt idx="3">
                  <c:v>8.00843713566479e-7</c:v>
                </c:pt>
                <c:pt idx="4">
                  <c:v>6.36954178290239e-7</c:v>
                </c:pt>
                <c:pt idx="5">
                  <c:v>5.06772090957952e-7</c:v>
                </c:pt>
                <c:pt idx="6">
                  <c:v>4.0336479711911e-7</c:v>
                </c:pt>
                <c:pt idx="7">
                  <c:v>3.21225424038119e-7</c:v>
                </c:pt>
                <c:pt idx="8">
                  <c:v>2.55979804020257e-7</c:v>
                </c:pt>
                <c:pt idx="9">
                  <c:v>2.04153405292118e-7</c:v>
                </c:pt>
                <c:pt idx="10">
                  <c:v>1.62986169005563e-7</c:v>
                </c:pt>
                <c:pt idx="11">
                  <c:v>1.30285904287319e-7</c:v>
                </c:pt>
                <c:pt idx="12">
                  <c:v>1.0431115970988e-7</c:v>
                </c:pt>
                <c:pt idx="13">
                  <c:v>8.36786862024042e-8</c:v>
                </c:pt>
                <c:pt idx="14">
                  <c:v>6.72897182418808e-8</c:v>
                </c:pt>
                <c:pt idx="15">
                  <c:v>5.42715095086521e-8</c:v>
                </c:pt>
                <c:pt idx="16">
                  <c:v>4.39308034394514e-8</c:v>
                </c:pt>
                <c:pt idx="17">
                  <c:v>3.57168628006832e-8</c:v>
                </c:pt>
                <c:pt idx="18">
                  <c:v>2.91923041295661e-8</c:v>
                </c:pt>
                <c:pt idx="19">
                  <c:v>2.40096720283134e-8</c:v>
                </c:pt>
                <c:pt idx="20">
                  <c:v>1.98929317463126e-8</c:v>
                </c:pt>
              </c:numCache>
            </c:numRef>
          </c:val>
          <c:smooth val="0"/>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0.00539689824077177</c:v>
                </c:pt>
                <c:pt idx="1">
                  <c:v>0.0042897700778101</c:v>
                </c:pt>
                <c:pt idx="2">
                  <c:v>0.00341031740075627</c:v>
                </c:pt>
                <c:pt idx="3">
                  <c:v>0.00271172468278088</c:v>
                </c:pt>
                <c:pt idx="4">
                  <c:v>0.00215680100985224</c:v>
                </c:pt>
                <c:pt idx="5">
                  <c:v>0.0017160020527912</c:v>
                </c:pt>
                <c:pt idx="6">
                  <c:v>0.00136585831632391</c:v>
                </c:pt>
                <c:pt idx="7">
                  <c:v>0.00108772630787743</c:v>
                </c:pt>
                <c:pt idx="8">
                  <c:v>0.000866796337757834</c:v>
                </c:pt>
                <c:pt idx="9">
                  <c:v>0.000691304249213422</c:v>
                </c:pt>
                <c:pt idx="10">
                  <c:v>0.000551905186660565</c:v>
                </c:pt>
                <c:pt idx="11">
                  <c:v>0.000441176107460171</c:v>
                </c:pt>
                <c:pt idx="12">
                  <c:v>0.000353220578207365</c:v>
                </c:pt>
                <c:pt idx="13">
                  <c:v>0.000283354831609578</c:v>
                </c:pt>
                <c:pt idx="14">
                  <c:v>0.000227858378928215</c:v>
                </c:pt>
                <c:pt idx="15">
                  <c:v>0.000183775905435599</c:v>
                </c:pt>
                <c:pt idx="16">
                  <c:v>0.000148759905325594</c:v>
                </c:pt>
                <c:pt idx="17">
                  <c:v>0.000120945678212619</c:v>
                </c:pt>
                <c:pt idx="18">
                  <c:v>9.88520336675971e-5</c:v>
                </c:pt>
                <c:pt idx="19">
                  <c:v>8.13024162423552e-5</c:v>
                </c:pt>
                <c:pt idx="20">
                  <c:v>6.73622522010697e-5</c:v>
                </c:pt>
              </c:numCache>
            </c:numRef>
          </c:val>
          <c:smooth val="0"/>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7.63844554274584e-6</c:v>
                </c:pt>
                <c:pt idx="1">
                  <c:v>6.22899807289912e-6</c:v>
                </c:pt>
                <c:pt idx="2">
                  <c:v>4.81955060305239e-6</c:v>
                </c:pt>
                <c:pt idx="3">
                  <c:v>3.93024432998601e-6</c:v>
                </c:pt>
                <c:pt idx="4">
                  <c:v>3.04093805691963e-6</c:v>
                </c:pt>
                <c:pt idx="5">
                  <c:v>2.47982172574268e-6</c:v>
                </c:pt>
                <c:pt idx="6">
                  <c:v>1.91870539456573e-6</c:v>
                </c:pt>
                <c:pt idx="7">
                  <c:v>1.56466385958787e-6</c:v>
                </c:pt>
                <c:pt idx="8">
                  <c:v>1.21062232461e-6</c:v>
                </c:pt>
                <c:pt idx="9">
                  <c:v>9.87236997707086e-7</c:v>
                </c:pt>
                <c:pt idx="10">
                  <c:v>7.63851670804172e-7</c:v>
                </c:pt>
                <c:pt idx="11">
                  <c:v>6.2290488322958e-7</c:v>
                </c:pt>
                <c:pt idx="12">
                  <c:v>4.81958095654989e-7</c:v>
                </c:pt>
                <c:pt idx="13">
                  <c:v>3.93026666767327e-7</c:v>
                </c:pt>
                <c:pt idx="14">
                  <c:v>3.04095237879665e-7</c:v>
                </c:pt>
                <c:pt idx="15">
                  <c:v>2.47983195089674e-7</c:v>
                </c:pt>
                <c:pt idx="16">
                  <c:v>1.91871152299683e-7</c:v>
                </c:pt>
                <c:pt idx="17">
                  <c:v>1.5646695605831e-7</c:v>
                </c:pt>
                <c:pt idx="18">
                  <c:v>1.21062759816937e-7</c:v>
                </c:pt>
                <c:pt idx="19">
                  <c:v>9.87241177696774e-8</c:v>
                </c:pt>
                <c:pt idx="20">
                  <c:v>7.63854757224181e-8</c:v>
                </c:pt>
              </c:numCache>
            </c:numRef>
          </c:val>
          <c:smooth val="0"/>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elete val="1"/>
          </c:dLbls>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3e-6</c:v>
                </c:pt>
                <c:pt idx="2">
                  <c:v>2.42e-6</c:v>
                </c:pt>
                <c:pt idx="3">
                  <c:v>1.96e-6</c:v>
                </c:pt>
                <c:pt idx="4">
                  <c:v>1.6e-6</c:v>
                </c:pt>
                <c:pt idx="5">
                  <c:v>1.3e-6</c:v>
                </c:pt>
                <c:pt idx="6">
                  <c:v>1.08e-6</c:v>
                </c:pt>
                <c:pt idx="7">
                  <c:v>8.8e-7</c:v>
                </c:pt>
                <c:pt idx="8">
                  <c:v>7.4e-7</c:v>
                </c:pt>
                <c:pt idx="9">
                  <c:v>6.2e-7</c:v>
                </c:pt>
                <c:pt idx="10">
                  <c:v>5.9e-8</c:v>
                </c:pt>
                <c:pt idx="11">
                  <c:v>4.5e-8</c:v>
                </c:pt>
                <c:pt idx="12">
                  <c:v>4.1e-8</c:v>
                </c:pt>
                <c:pt idx="13">
                  <c:v>3.7e-8</c:v>
                </c:pt>
                <c:pt idx="14">
                  <c:v>3.3e-8</c:v>
                </c:pt>
                <c:pt idx="15">
                  <c:v>2.9e-8</c:v>
                </c:pt>
                <c:pt idx="16">
                  <c:v>2.5e-8</c:v>
                </c:pt>
                <c:pt idx="17">
                  <c:v>2.4e-8</c:v>
                </c:pt>
                <c:pt idx="18">
                  <c:v>2.4e-8</c:v>
                </c:pt>
                <c:pt idx="19">
                  <c:v>2.2e-8</c:v>
                </c:pt>
                <c:pt idx="20">
                  <c:v>2.2e-8</c:v>
                </c:pt>
              </c:numCache>
            </c:numRef>
          </c:val>
          <c:smooth val="0"/>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endParaRPr lang="en-US"/>
              </a:p>
            </c:rich>
          </c:tx>
          <c:layout>
            <c:manualLayout>
              <c:xMode val="edge"/>
              <c:yMode val="edge"/>
              <c:x val="0.442198985402216"/>
              <c:y val="0.84293505140651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endParaRPr lang="en-US"/>
              </a:p>
            </c:rich>
          </c:tx>
          <c:layout>
            <c:manualLayout>
              <c:xMode val="edge"/>
              <c:yMode val="edge"/>
              <c:x val="0.0210293611257776"/>
              <c:y val="0.25862588772647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337072543"/>
        <c:crosses val="autoZero"/>
        <c:crossBetween val="between"/>
      </c:valAx>
      <c:spPr>
        <a:noFill/>
        <a:ln>
          <a:noFill/>
        </a:ln>
        <a:effectLst/>
      </c:spPr>
    </c:plotArea>
    <c:legend>
      <c:legendPos val="b"/>
      <c:layout>
        <c:manualLayout>
          <c:xMode val="edge"/>
          <c:yMode val="edge"/>
          <c:x val="0.153189428813892"/>
          <c:y val="0.911971217605581"/>
          <c:w val="0.689225989608442"/>
          <c:h val="0.0880287851342526"/>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datastoreItem>
</file>

<file path=docProps/app.xml><?xml version="1.0" encoding="utf-8"?>
<Properties xmlns="http://schemas.openxmlformats.org/officeDocument/2006/extended-properties" xmlns:vt="http://schemas.openxmlformats.org/officeDocument/2006/docPropsVTypes">
  <Template>3gpp_70.dot</Template>
  <Pages>46</Pages>
  <Words>16404</Words>
  <Characters>93507</Characters>
  <Lines>779</Lines>
  <Paragraphs>219</Paragraphs>
  <TotalTime>1</TotalTime>
  <ScaleCrop>false</ScaleCrop>
  <LinksUpToDate>false</LinksUpToDate>
  <CharactersWithSpaces>109692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2023-06-02T08:43:00Z</dcterms:created>
  <dcterms:modified xsi:type="dcterms:W3CDTF">2023-12-01T07:22:48Z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